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r>
        <w:rPr>
          <w:rFonts w:ascii="Times New Roman" w:hAnsi="Times New Roman" w:cs="Times New Roman"/>
        </w:rPr>
        <w:tab/>
      </w:r>
    </w:p>
    <w:p>
      <w:pPr>
        <w:spacing w:line="480" w:lineRule="auto"/>
        <w:rPr>
          <w:rFonts w:ascii="Times New Roman" w:hAnsi="Times New Roman" w:cs="Times New Roman"/>
        </w:rPr>
      </w:pPr>
    </w:p>
    <w:p>
      <w:pPr>
        <w:spacing w:line="920" w:lineRule="exact"/>
        <w:jc w:val="center"/>
        <w:rPr>
          <w:rFonts w:ascii="华文中宋" w:hAnsi="华文中宋" w:eastAsia="华文中宋" w:cs="华文中宋"/>
          <w:b/>
          <w:bCs/>
          <w:sz w:val="44"/>
          <w:szCs w:val="44"/>
          <w:lang w:eastAsia="zh-CN"/>
        </w:rPr>
      </w:pPr>
      <w:bookmarkStart w:id="0" w:name="_Hlk57321784"/>
      <w:bookmarkStart w:id="1" w:name="_Hlk59520868"/>
      <w:r>
        <w:rPr>
          <w:rFonts w:hint="eastAsia" w:ascii="华文中宋" w:hAnsi="华文中宋" w:eastAsia="华文中宋" w:cs="华文中宋"/>
          <w:b/>
          <w:bCs/>
          <w:sz w:val="44"/>
          <w:szCs w:val="44"/>
          <w:lang w:eastAsia="zh-CN"/>
        </w:rPr>
        <w:t>《</w:t>
      </w:r>
      <w:bookmarkEnd w:id="0"/>
      <w:bookmarkEnd w:id="1"/>
      <w:r>
        <w:rPr>
          <w:rFonts w:hint="eastAsia" w:ascii="华文中宋" w:hAnsi="华文中宋" w:eastAsia="华文中宋" w:cs="华文中宋"/>
          <w:b/>
          <w:bCs/>
          <w:sz w:val="44"/>
          <w:szCs w:val="44"/>
          <w:lang w:eastAsia="zh-CN"/>
        </w:rPr>
        <w:t>燃煤锅炉脱硫废水烟气余热浓缩干燥技术指南》</w:t>
      </w:r>
    </w:p>
    <w:p>
      <w:pPr>
        <w:spacing w:line="920" w:lineRule="exact"/>
        <w:jc w:val="center"/>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eastAsia="zh-CN"/>
        </w:rPr>
        <w:t>编制说明</w:t>
      </w:r>
    </w:p>
    <w:p>
      <w:pPr>
        <w:pStyle w:val="2"/>
        <w:ind w:firstLine="3600" w:firstLineChars="1200"/>
        <w:jc w:val="both"/>
        <w:rPr>
          <w:rFonts w:hint="default"/>
          <w:b w:val="0"/>
          <w:bCs w:val="0"/>
          <w:sz w:val="30"/>
          <w:szCs w:val="30"/>
          <w:lang w:val="en-US" w:eastAsia="zh-CN"/>
        </w:rPr>
      </w:pPr>
      <w:r>
        <w:rPr>
          <w:rFonts w:hint="eastAsia" w:ascii="华文中宋" w:hAnsi="华文中宋" w:eastAsia="华文中宋" w:cs="华文中宋"/>
          <w:b w:val="0"/>
          <w:bCs w:val="0"/>
          <w:sz w:val="30"/>
          <w:szCs w:val="30"/>
          <w:lang w:val="en-US" w:eastAsia="zh-CN"/>
        </w:rPr>
        <w:t>(报批稿)</w:t>
      </w:r>
    </w:p>
    <w:p>
      <w:pPr>
        <w:spacing w:line="920" w:lineRule="exact"/>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sz w:val="40"/>
          <w:szCs w:val="40"/>
          <w:lang w:eastAsia="zh-CN"/>
        </w:rPr>
      </w:pPr>
    </w:p>
    <w:p>
      <w:pPr>
        <w:rPr>
          <w:rFonts w:ascii="Times New Roman" w:hAnsi="Times New Roman" w:cs="Times New Roman"/>
          <w:sz w:val="40"/>
          <w:szCs w:val="40"/>
          <w:lang w:eastAsia="zh-CN"/>
        </w:rPr>
      </w:pPr>
    </w:p>
    <w:p>
      <w:pPr>
        <w:spacing w:line="600" w:lineRule="auto"/>
        <w:jc w:val="center"/>
        <w:rPr>
          <w:rFonts w:ascii="仿宋" w:hAnsi="仿宋" w:eastAsia="仿宋" w:cs="Times New Roman"/>
          <w:b/>
          <w:bCs/>
          <w:sz w:val="36"/>
          <w:szCs w:val="36"/>
          <w:lang w:eastAsia="zh-CN"/>
        </w:rPr>
      </w:pPr>
      <w:r>
        <w:rPr>
          <w:rFonts w:ascii="仿宋" w:hAnsi="仿宋" w:eastAsia="仿宋" w:cs="Times New Roman"/>
          <w:b/>
          <w:bCs/>
          <w:sz w:val="36"/>
          <w:szCs w:val="36"/>
          <w:lang w:eastAsia="zh-CN"/>
        </w:rPr>
        <w:t>标准编制组</w:t>
      </w:r>
    </w:p>
    <w:p>
      <w:pPr>
        <w:spacing w:line="600" w:lineRule="auto"/>
        <w:jc w:val="center"/>
        <w:rPr>
          <w:rFonts w:ascii="仿宋" w:hAnsi="仿宋" w:eastAsia="仿宋" w:cs="Times New Roman"/>
          <w:b/>
          <w:bCs/>
          <w:sz w:val="40"/>
          <w:szCs w:val="40"/>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ascii="仿宋" w:hAnsi="仿宋" w:eastAsia="仿宋" w:cs="Times New Roman"/>
          <w:b/>
          <w:bCs/>
          <w:sz w:val="32"/>
          <w:szCs w:val="32"/>
          <w:lang w:eastAsia="zh-CN"/>
        </w:rPr>
        <w:t>二〇二</w:t>
      </w:r>
      <w:r>
        <w:rPr>
          <w:rFonts w:hint="eastAsia" w:ascii="仿宋" w:hAnsi="仿宋" w:eastAsia="仿宋" w:cs="Times New Roman"/>
          <w:b/>
          <w:bCs/>
          <w:sz w:val="32"/>
          <w:szCs w:val="32"/>
          <w:lang w:eastAsia="zh-CN"/>
        </w:rPr>
        <w:t>二</w:t>
      </w:r>
      <w:r>
        <w:rPr>
          <w:rFonts w:ascii="仿宋" w:hAnsi="仿宋" w:eastAsia="仿宋" w:cs="Times New Roman"/>
          <w:b/>
          <w:bCs/>
          <w:sz w:val="32"/>
          <w:szCs w:val="32"/>
          <w:lang w:eastAsia="zh-CN"/>
        </w:rPr>
        <w:t>年</w:t>
      </w:r>
      <w:r>
        <w:rPr>
          <w:rFonts w:hint="eastAsia" w:ascii="仿宋" w:hAnsi="仿宋" w:eastAsia="仿宋" w:cs="Times New Roman"/>
          <w:b/>
          <w:bCs/>
          <w:sz w:val="32"/>
          <w:szCs w:val="32"/>
          <w:lang w:val="en-US" w:eastAsia="zh-CN"/>
        </w:rPr>
        <w:t>十二</w:t>
      </w:r>
      <w:r>
        <w:rPr>
          <w:rFonts w:ascii="仿宋" w:hAnsi="仿宋" w:eastAsia="仿宋" w:cs="Times New Roman"/>
          <w:b/>
          <w:bCs/>
          <w:sz w:val="32"/>
          <w:szCs w:val="32"/>
          <w:lang w:eastAsia="zh-CN"/>
        </w:rPr>
        <w:t>月</w:t>
      </w:r>
    </w:p>
    <w:sdt>
      <w:sdtPr>
        <w:rPr>
          <w:rFonts w:ascii="Times New Roman" w:hAnsi="Times New Roman" w:cs="Times New Roman" w:eastAsiaTheme="minorEastAsia"/>
          <w:color w:val="auto"/>
          <w:sz w:val="22"/>
          <w:szCs w:val="22"/>
          <w:lang w:val="zh-CN" w:eastAsia="en-US"/>
        </w:rPr>
        <w:id w:val="423540742"/>
        <w:docPartObj>
          <w:docPartGallery w:val="Table of Contents"/>
          <w:docPartUnique/>
        </w:docPartObj>
      </w:sdtPr>
      <w:sdtEndPr>
        <w:rPr>
          <w:rFonts w:ascii="Times New Roman" w:hAnsi="Times New Roman" w:eastAsia="宋体" w:cs="Times New Roman"/>
          <w:b/>
          <w:bCs/>
          <w:color w:val="auto"/>
          <w:sz w:val="24"/>
          <w:szCs w:val="24"/>
          <w:lang w:val="zh-CN" w:eastAsia="en-US"/>
        </w:rPr>
      </w:sdtEndPr>
      <w:sdtContent>
        <w:p>
          <w:pPr>
            <w:pStyle w:val="32"/>
            <w:spacing w:line="360" w:lineRule="auto"/>
            <w:jc w:val="center"/>
            <w:rPr>
              <w:rFonts w:ascii="宋体" w:hAnsi="宋体" w:eastAsia="宋体" w:cs="Times New Roman"/>
              <w:b/>
              <w:bCs/>
              <w:color w:val="auto"/>
              <w:w w:val="95"/>
              <w:sz w:val="36"/>
              <w:szCs w:val="36"/>
            </w:rPr>
          </w:pPr>
          <w:r>
            <w:rPr>
              <w:rFonts w:ascii="宋体" w:hAnsi="宋体" w:eastAsia="宋体" w:cs="Times New Roman"/>
              <w:b/>
              <w:bCs/>
              <w:color w:val="auto"/>
              <w:w w:val="95"/>
              <w:sz w:val="36"/>
              <w:szCs w:val="36"/>
            </w:rPr>
            <w:t xml:space="preserve">目  </w:t>
          </w:r>
          <w:r>
            <w:rPr>
              <w:rFonts w:hint="eastAsia" w:ascii="宋体" w:hAnsi="宋体" w:eastAsia="宋体" w:cs="Times New Roman"/>
              <w:b/>
              <w:bCs/>
              <w:color w:val="auto"/>
              <w:w w:val="95"/>
              <w:sz w:val="36"/>
              <w:szCs w:val="36"/>
            </w:rPr>
            <w:t>次</w:t>
          </w:r>
        </w:p>
        <w:p>
          <w:pPr>
            <w:pStyle w:val="16"/>
            <w:spacing w:line="360" w:lineRule="auto"/>
            <w:rPr>
              <w:kern w:val="2"/>
              <w:sz w:val="21"/>
              <w:lang w:eastAsia="zh-CN"/>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TOC \o "1-2" \h \z \u </w:instrText>
          </w:r>
          <w:r>
            <w:rPr>
              <w:rFonts w:ascii="Times New Roman" w:hAnsi="Times New Roman" w:eastAsia="宋体" w:cs="Times New Roman"/>
              <w:sz w:val="24"/>
              <w:szCs w:val="24"/>
            </w:rPr>
            <w:fldChar w:fldCharType="separate"/>
          </w:r>
          <w:r>
            <w:fldChar w:fldCharType="begin"/>
          </w:r>
          <w:r>
            <w:instrText xml:space="preserve"> HYPERLINK \l "_Toc95852614" </w:instrText>
          </w:r>
          <w:r>
            <w:fldChar w:fldCharType="separate"/>
          </w:r>
          <w:r>
            <w:rPr>
              <w:rStyle w:val="24"/>
              <w:lang w:eastAsia="zh-CN"/>
            </w:rPr>
            <w:t>1 工作简况</w:t>
          </w:r>
          <w:r>
            <w:tab/>
          </w:r>
          <w:r>
            <w:fldChar w:fldCharType="begin"/>
          </w:r>
          <w:r>
            <w:instrText xml:space="preserve"> PAGEREF _Toc95852614 \h </w:instrText>
          </w:r>
          <w:r>
            <w:fldChar w:fldCharType="separate"/>
          </w:r>
          <w:r>
            <w:t>1</w:t>
          </w:r>
          <w:r>
            <w:fldChar w:fldCharType="end"/>
          </w:r>
          <w:r>
            <w:fldChar w:fldCharType="end"/>
          </w:r>
        </w:p>
        <w:p>
          <w:pPr>
            <w:pStyle w:val="16"/>
            <w:spacing w:line="360" w:lineRule="auto"/>
            <w:rPr>
              <w:kern w:val="2"/>
              <w:sz w:val="21"/>
              <w:lang w:eastAsia="zh-CN"/>
            </w:rPr>
          </w:pPr>
          <w:r>
            <w:fldChar w:fldCharType="begin"/>
          </w:r>
          <w:r>
            <w:instrText xml:space="preserve"> HYPERLINK \l "_Toc95852619" </w:instrText>
          </w:r>
          <w:r>
            <w:fldChar w:fldCharType="separate"/>
          </w:r>
          <w:r>
            <w:rPr>
              <w:rStyle w:val="24"/>
              <w:lang w:eastAsia="zh-CN"/>
            </w:rPr>
            <w:t>2 标准编制必要性、原则和技术路线及主要内容</w:t>
          </w:r>
          <w:r>
            <w:tab/>
          </w:r>
          <w:r>
            <w:fldChar w:fldCharType="begin"/>
          </w:r>
          <w:r>
            <w:instrText xml:space="preserve"> PAGEREF _Toc95852619 \h </w:instrText>
          </w:r>
          <w:r>
            <w:fldChar w:fldCharType="separate"/>
          </w:r>
          <w:r>
            <w:t>2</w:t>
          </w:r>
          <w:r>
            <w:fldChar w:fldCharType="end"/>
          </w:r>
          <w:r>
            <w:fldChar w:fldCharType="end"/>
          </w:r>
        </w:p>
        <w:p>
          <w:pPr>
            <w:pStyle w:val="16"/>
            <w:spacing w:line="360" w:lineRule="auto"/>
            <w:rPr>
              <w:kern w:val="2"/>
              <w:sz w:val="21"/>
              <w:lang w:eastAsia="zh-CN"/>
            </w:rPr>
          </w:pPr>
          <w:r>
            <w:fldChar w:fldCharType="begin"/>
          </w:r>
          <w:r>
            <w:instrText xml:space="preserve"> HYPERLINK \l "_Toc95852631" </w:instrText>
          </w:r>
          <w:r>
            <w:fldChar w:fldCharType="separate"/>
          </w:r>
          <w:r>
            <w:rPr>
              <w:rStyle w:val="24"/>
              <w:lang w:eastAsia="zh-CN"/>
            </w:rPr>
            <w:t>3 标准涉及的相关知识产权说明</w:t>
          </w:r>
          <w:r>
            <w:tab/>
          </w:r>
          <w:r>
            <w:fldChar w:fldCharType="begin"/>
          </w:r>
          <w:r>
            <w:instrText xml:space="preserve"> PAGEREF _Toc95852631 \h </w:instrText>
          </w:r>
          <w:r>
            <w:fldChar w:fldCharType="separate"/>
          </w:r>
          <w:r>
            <w:t>5</w:t>
          </w:r>
          <w:r>
            <w:fldChar w:fldCharType="end"/>
          </w:r>
          <w:r>
            <w:fldChar w:fldCharType="end"/>
          </w:r>
        </w:p>
        <w:p>
          <w:pPr>
            <w:pStyle w:val="16"/>
            <w:spacing w:line="360" w:lineRule="auto"/>
            <w:rPr>
              <w:kern w:val="2"/>
              <w:sz w:val="21"/>
              <w:lang w:eastAsia="zh-CN"/>
            </w:rPr>
          </w:pPr>
          <w:r>
            <w:fldChar w:fldCharType="begin"/>
          </w:r>
          <w:r>
            <w:instrText xml:space="preserve"> HYPERLINK \l "_Toc95852632" </w:instrText>
          </w:r>
          <w:r>
            <w:fldChar w:fldCharType="separate"/>
          </w:r>
          <w:r>
            <w:rPr>
              <w:rStyle w:val="24"/>
              <w:rFonts w:ascii="Times New Roman" w:hAnsi="Times New Roman" w:cs="Times New Roman"/>
              <w:lang w:eastAsia="zh-CN"/>
            </w:rPr>
            <w:t>4</w:t>
          </w:r>
          <w:r>
            <w:rPr>
              <w:rStyle w:val="24"/>
              <w:rFonts w:ascii="宋体" w:hAnsi="宋体" w:cs="Times New Roman"/>
              <w:lang w:eastAsia="zh-CN"/>
            </w:rPr>
            <w:t xml:space="preserve"> 国内外相关标准及相关项目情况</w:t>
          </w:r>
          <w:r>
            <w:tab/>
          </w:r>
          <w:r>
            <w:fldChar w:fldCharType="begin"/>
          </w:r>
          <w:r>
            <w:instrText xml:space="preserve"> PAGEREF _Toc95852632 \h </w:instrText>
          </w:r>
          <w:r>
            <w:fldChar w:fldCharType="separate"/>
          </w:r>
          <w:r>
            <w:t>5</w:t>
          </w:r>
          <w:r>
            <w:fldChar w:fldCharType="end"/>
          </w:r>
          <w:r>
            <w:fldChar w:fldCharType="end"/>
          </w:r>
        </w:p>
        <w:p>
          <w:pPr>
            <w:pStyle w:val="16"/>
            <w:spacing w:line="360" w:lineRule="auto"/>
            <w:rPr>
              <w:kern w:val="2"/>
              <w:sz w:val="21"/>
              <w:lang w:eastAsia="zh-CN"/>
            </w:rPr>
          </w:pPr>
          <w:r>
            <w:fldChar w:fldCharType="begin"/>
          </w:r>
          <w:r>
            <w:instrText xml:space="preserve"> HYPERLINK \l "_Toc95852636" </w:instrText>
          </w:r>
          <w:r>
            <w:fldChar w:fldCharType="separate"/>
          </w:r>
          <w:r>
            <w:rPr>
              <w:rStyle w:val="24"/>
              <w:lang w:eastAsia="zh-CN"/>
            </w:rPr>
            <w:t>5 重大意见分歧的处理经过和依据</w:t>
          </w:r>
          <w:r>
            <w:tab/>
          </w:r>
          <w:r>
            <w:fldChar w:fldCharType="begin"/>
          </w:r>
          <w:r>
            <w:instrText xml:space="preserve"> PAGEREF _Toc95852636 \h </w:instrText>
          </w:r>
          <w:r>
            <w:fldChar w:fldCharType="separate"/>
          </w:r>
          <w:r>
            <w:t>5</w:t>
          </w:r>
          <w:r>
            <w:fldChar w:fldCharType="end"/>
          </w:r>
          <w:r>
            <w:fldChar w:fldCharType="end"/>
          </w:r>
        </w:p>
        <w:p>
          <w:pPr>
            <w:pStyle w:val="16"/>
            <w:spacing w:line="360" w:lineRule="auto"/>
            <w:rPr>
              <w:kern w:val="2"/>
              <w:sz w:val="21"/>
              <w:lang w:eastAsia="zh-CN"/>
            </w:rPr>
          </w:pPr>
          <w:r>
            <w:fldChar w:fldCharType="begin"/>
          </w:r>
          <w:r>
            <w:instrText xml:space="preserve"> HYPERLINK \l "_Toc95852637" </w:instrText>
          </w:r>
          <w:r>
            <w:fldChar w:fldCharType="separate"/>
          </w:r>
          <w:r>
            <w:rPr>
              <w:rStyle w:val="24"/>
              <w:lang w:eastAsia="zh-CN"/>
            </w:rPr>
            <w:t>6 其他应予说明的事项</w:t>
          </w:r>
          <w:r>
            <w:tab/>
          </w:r>
          <w:r>
            <w:fldChar w:fldCharType="begin"/>
          </w:r>
          <w:r>
            <w:instrText xml:space="preserve"> PAGEREF _Toc95852637 \h </w:instrText>
          </w:r>
          <w:r>
            <w:fldChar w:fldCharType="separate"/>
          </w:r>
          <w:r>
            <w:t>5</w:t>
          </w:r>
          <w:r>
            <w:fldChar w:fldCharType="end"/>
          </w:r>
          <w:r>
            <w:fldChar w:fldCharType="end"/>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fldChar w:fldCharType="end"/>
          </w:r>
        </w:p>
      </w:sdtContent>
    </w:sdt>
    <w:p>
      <w:pPr>
        <w:rPr>
          <w:rFonts w:ascii="Times New Roman" w:hAnsi="Times New Roman" w:eastAsia="黑体" w:cs="Times New Roman"/>
          <w:sz w:val="28"/>
          <w:szCs w:val="28"/>
          <w:lang w:eastAsia="zh-CN"/>
        </w:rPr>
        <w:sectPr>
          <w:pgSz w:w="11906" w:h="16838"/>
          <w:pgMar w:top="1440" w:right="1800" w:bottom="1440" w:left="1800" w:header="851" w:footer="992" w:gutter="0"/>
          <w:pgNumType w:fmt="upperRoman" w:start="1"/>
          <w:cols w:space="425" w:num="1"/>
          <w:docGrid w:type="lines" w:linePitch="312" w:charSpace="0"/>
        </w:sectPr>
      </w:pPr>
    </w:p>
    <w:p>
      <w:pPr>
        <w:pStyle w:val="4"/>
        <w:spacing w:line="360" w:lineRule="auto"/>
        <w:rPr>
          <w:rFonts w:ascii="黑体" w:hAnsi="黑体" w:eastAsia="黑体" w:cs="黑体"/>
          <w:b w:val="0"/>
          <w:bCs w:val="0"/>
          <w:sz w:val="21"/>
          <w:szCs w:val="21"/>
          <w:lang w:eastAsia="zh-CN"/>
        </w:rPr>
      </w:pPr>
      <w:bookmarkStart w:id="2" w:name="_Toc95852614"/>
      <w:r>
        <w:rPr>
          <w:rFonts w:hint="eastAsia" w:ascii="黑体" w:hAnsi="黑体" w:eastAsia="黑体" w:cs="黑体"/>
          <w:b w:val="0"/>
          <w:bCs w:val="0"/>
          <w:sz w:val="21"/>
          <w:szCs w:val="21"/>
          <w:lang w:eastAsia="zh-CN"/>
        </w:rPr>
        <w:t>1 工作简况</w:t>
      </w:r>
      <w:bookmarkEnd w:id="2"/>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1"/>
        <w:rPr>
          <w:rFonts w:ascii="黑体" w:hAnsi="黑体" w:eastAsia="黑体" w:cs="黑体"/>
          <w:sz w:val="21"/>
          <w:szCs w:val="21"/>
          <w:lang w:eastAsia="zh-CN"/>
        </w:rPr>
      </w:pPr>
      <w:bookmarkStart w:id="3" w:name="_Toc95852615"/>
      <w:r>
        <w:rPr>
          <w:rFonts w:hint="eastAsia" w:ascii="黑体" w:hAnsi="黑体" w:eastAsia="黑体" w:cs="黑体"/>
          <w:sz w:val="21"/>
          <w:szCs w:val="21"/>
          <w:lang w:eastAsia="zh-CN"/>
        </w:rPr>
        <w:t>1.1任务来源</w:t>
      </w:r>
      <w:bookmarkEnd w:id="3"/>
    </w:p>
    <w:p>
      <w:pPr>
        <w:spacing w:line="360" w:lineRule="auto"/>
        <w:ind w:firstLine="420" w:firstLineChars="200"/>
        <w:jc w:val="both"/>
        <w:rPr>
          <w:rFonts w:ascii="Times New Roman" w:hAnsi="Times New Roman" w:eastAsia="宋体" w:cs="Times New Roman"/>
          <w:kern w:val="2"/>
          <w:sz w:val="21"/>
          <w:szCs w:val="21"/>
          <w:lang w:eastAsia="zh-CN"/>
        </w:rPr>
      </w:pPr>
      <w:bookmarkStart w:id="4" w:name="_Toc95852616"/>
      <w:r>
        <w:rPr>
          <w:rFonts w:hint="eastAsia" w:ascii="Times New Roman" w:hAnsi="Times New Roman" w:eastAsia="宋体" w:cs="Times New Roman"/>
          <w:kern w:val="2"/>
          <w:sz w:val="21"/>
          <w:szCs w:val="21"/>
          <w:lang w:eastAsia="zh-CN"/>
        </w:rPr>
        <w:t>本任务来源于中华环保联合会。为适应国家环境保护工作</w:t>
      </w:r>
      <w:r>
        <w:rPr>
          <w:rFonts w:hint="eastAsia" w:ascii="Times New Roman" w:hAnsi="Times New Roman" w:eastAsia="宋体" w:cs="Times New Roman"/>
          <w:kern w:val="2"/>
          <w:sz w:val="21"/>
          <w:szCs w:val="21"/>
          <w:lang w:val="en-US" w:eastAsia="zh-CN"/>
        </w:rPr>
        <w:t>的</w:t>
      </w:r>
      <w:r>
        <w:rPr>
          <w:rFonts w:hint="eastAsia" w:ascii="Times New Roman" w:hAnsi="Times New Roman" w:eastAsia="宋体" w:cs="Times New Roman"/>
          <w:kern w:val="2"/>
          <w:sz w:val="21"/>
          <w:szCs w:val="21"/>
          <w:lang w:eastAsia="zh-CN"/>
        </w:rPr>
        <w:t>需要，</w:t>
      </w:r>
      <w:r>
        <w:rPr>
          <w:rFonts w:hint="eastAsia" w:ascii="Times New Roman" w:hAnsi="Times New Roman" w:eastAsia="宋体" w:cs="Times New Roman"/>
          <w:kern w:val="2"/>
          <w:sz w:val="21"/>
          <w:szCs w:val="21"/>
          <w:lang w:val="en-US" w:eastAsia="zh-CN"/>
        </w:rPr>
        <w:t>贯彻落实《中华人民共和国标准化法实施条例》及《团体标准管理办法》等文件的精神，</w:t>
      </w:r>
      <w:r>
        <w:rPr>
          <w:rFonts w:hint="eastAsia" w:ascii="Times New Roman" w:hAnsi="Times New Roman" w:eastAsia="宋体" w:cs="Times New Roman"/>
          <w:kern w:val="2"/>
          <w:sz w:val="21"/>
          <w:szCs w:val="21"/>
          <w:lang w:eastAsia="zh-CN"/>
        </w:rPr>
        <w:t>进一步完善国家环境保护标准体系，中华环保联合会于 2021 年 2 月发布了关于《城镇污水厂、站、 网一体化运行监测与智能化管理技术规程》等五项团体标准（中环联字〔2021〕 21 号）立项的公告，《燃煤锅炉脱硫废水烟气余热浓缩及浆液干燥固化工程技术规范》是五项团体标准之一。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1"/>
        <w:rPr>
          <w:rFonts w:hint="eastAsia" w:ascii="黑体" w:hAnsi="黑体" w:eastAsia="黑体" w:cs="黑体"/>
          <w:sz w:val="21"/>
          <w:szCs w:val="21"/>
          <w:lang w:eastAsia="zh-CN"/>
        </w:rPr>
      </w:pPr>
      <w:r>
        <w:rPr>
          <w:rFonts w:hint="eastAsia" w:ascii="黑体" w:hAnsi="黑体" w:eastAsia="黑体" w:cs="黑体"/>
          <w:sz w:val="21"/>
          <w:szCs w:val="21"/>
          <w:lang w:eastAsia="zh-CN"/>
        </w:rPr>
        <w:t>1.2协作单位</w:t>
      </w:r>
      <w:bookmarkEnd w:id="4"/>
    </w:p>
    <w:p>
      <w:pPr>
        <w:spacing w:line="360" w:lineRule="auto"/>
        <w:ind w:firstLine="420" w:firstLineChars="200"/>
        <w:jc w:val="both"/>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考虑到</w:t>
      </w:r>
      <w:r>
        <w:rPr>
          <w:rFonts w:hint="eastAsia" w:ascii="Times New Roman" w:hAnsi="Times New Roman" w:eastAsia="宋体" w:cs="Times New Roman"/>
          <w:kern w:val="2"/>
          <w:sz w:val="21"/>
          <w:szCs w:val="21"/>
          <w:lang w:val="en-US" w:eastAsia="zh-CN"/>
        </w:rPr>
        <w:t>燃煤锅炉脱硫废水处理</w:t>
      </w:r>
      <w:r>
        <w:rPr>
          <w:rFonts w:hint="eastAsia" w:ascii="Times New Roman" w:hAnsi="Times New Roman" w:eastAsia="宋体" w:cs="Times New Roman"/>
          <w:kern w:val="2"/>
          <w:sz w:val="21"/>
          <w:szCs w:val="21"/>
          <w:lang w:eastAsia="zh-CN"/>
        </w:rPr>
        <w:t>的实际</w:t>
      </w:r>
      <w:r>
        <w:rPr>
          <w:rFonts w:hint="eastAsia" w:ascii="Times New Roman" w:hAnsi="Times New Roman" w:eastAsia="宋体" w:cs="Times New Roman"/>
          <w:kern w:val="2"/>
          <w:sz w:val="21"/>
          <w:szCs w:val="21"/>
          <w:lang w:val="en-US" w:eastAsia="zh-CN"/>
        </w:rPr>
        <w:t>环保要求</w:t>
      </w:r>
      <w:r>
        <w:rPr>
          <w:rFonts w:hint="eastAsia" w:ascii="Times New Roman" w:hAnsi="Times New Roman" w:eastAsia="宋体" w:cs="Times New Roman"/>
          <w:kern w:val="2"/>
          <w:sz w:val="21"/>
          <w:szCs w:val="21"/>
          <w:lang w:eastAsia="zh-CN"/>
        </w:rPr>
        <w:t>，根据</w:t>
      </w:r>
      <w:r>
        <w:rPr>
          <w:rFonts w:hint="eastAsia" w:ascii="Times New Roman" w:hAnsi="Times New Roman" w:eastAsia="宋体" w:cs="Times New Roman"/>
          <w:kern w:val="2"/>
          <w:sz w:val="21"/>
          <w:szCs w:val="21"/>
          <w:lang w:val="en-US" w:eastAsia="zh-CN"/>
        </w:rPr>
        <w:t>脱硫废水处理工艺的</w:t>
      </w:r>
      <w:r>
        <w:rPr>
          <w:rFonts w:hint="eastAsia" w:ascii="Times New Roman" w:hAnsi="Times New Roman" w:eastAsia="宋体" w:cs="Times New Roman"/>
          <w:kern w:val="2"/>
          <w:sz w:val="21"/>
          <w:szCs w:val="21"/>
          <w:lang w:eastAsia="zh-CN"/>
        </w:rPr>
        <w:t>特点</w:t>
      </w:r>
      <w:r>
        <w:rPr>
          <w:rFonts w:hint="eastAsia" w:ascii="Times New Roman" w:hAnsi="Times New Roman" w:eastAsia="宋体" w:cs="Times New Roman"/>
          <w:kern w:val="2"/>
          <w:sz w:val="21"/>
          <w:szCs w:val="21"/>
          <w:lang w:val="en-US" w:eastAsia="zh-CN"/>
        </w:rPr>
        <w:t>及适用性</w:t>
      </w:r>
      <w:r>
        <w:rPr>
          <w:rFonts w:hint="eastAsia" w:ascii="Times New Roman" w:hAnsi="Times New Roman" w:eastAsia="宋体" w:cs="Times New Roman"/>
          <w:kern w:val="2"/>
          <w:sz w:val="21"/>
          <w:szCs w:val="21"/>
          <w:lang w:eastAsia="zh-CN"/>
        </w:rPr>
        <w:t>，由中华环保联合会组织</w:t>
      </w:r>
      <w:r>
        <w:rPr>
          <w:rFonts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eastAsia="zh-CN"/>
        </w:rPr>
        <w:t>燃煤锅炉脱硫废水烟气余热浓缩干燥技术指南》团体标准编制工作，</w:t>
      </w:r>
      <w:r>
        <w:rPr>
          <w:rFonts w:ascii="Times New Roman" w:hAnsi="Times New Roman" w:eastAsia="宋体" w:cs="Times New Roman"/>
          <w:kern w:val="2"/>
          <w:sz w:val="21"/>
          <w:szCs w:val="21"/>
          <w:lang w:eastAsia="zh-CN"/>
        </w:rPr>
        <w:t>该</w:t>
      </w:r>
      <w:r>
        <w:rPr>
          <w:rFonts w:hint="eastAsia" w:ascii="Times New Roman" w:hAnsi="Times New Roman" w:eastAsia="宋体" w:cs="Times New Roman"/>
          <w:kern w:val="2"/>
          <w:sz w:val="21"/>
          <w:szCs w:val="21"/>
          <w:lang w:val="en-US" w:eastAsia="zh-CN"/>
        </w:rPr>
        <w:t>指南由中华环保联合会提出，该指南</w:t>
      </w:r>
      <w:r>
        <w:rPr>
          <w:rFonts w:ascii="Times New Roman" w:hAnsi="Times New Roman" w:eastAsia="宋体" w:cs="Times New Roman"/>
          <w:kern w:val="2"/>
          <w:sz w:val="21"/>
          <w:szCs w:val="21"/>
          <w:lang w:eastAsia="zh-CN"/>
        </w:rPr>
        <w:t>的</w:t>
      </w:r>
      <w:r>
        <w:rPr>
          <w:rFonts w:hint="eastAsia" w:ascii="Times New Roman" w:hAnsi="Times New Roman" w:eastAsia="宋体" w:cs="Times New Roman"/>
          <w:kern w:val="2"/>
          <w:sz w:val="21"/>
          <w:szCs w:val="21"/>
          <w:lang w:eastAsia="zh-CN"/>
        </w:rPr>
        <w:t>主编</w:t>
      </w:r>
      <w:r>
        <w:rPr>
          <w:rFonts w:ascii="Times New Roman" w:hAnsi="Times New Roman" w:eastAsia="宋体" w:cs="Times New Roman"/>
          <w:kern w:val="2"/>
          <w:sz w:val="21"/>
          <w:szCs w:val="21"/>
          <w:lang w:eastAsia="zh-CN"/>
        </w:rPr>
        <w:t>工作由</w:t>
      </w:r>
      <w:r>
        <w:rPr>
          <w:rFonts w:hint="eastAsia" w:ascii="Times New Roman" w:hAnsi="Times New Roman" w:eastAsia="宋体" w:cs="Times New Roman"/>
          <w:kern w:val="2"/>
          <w:sz w:val="21"/>
          <w:szCs w:val="21"/>
          <w:lang w:val="en-US" w:eastAsia="zh-CN"/>
        </w:rPr>
        <w:t>国能龙源环保有限公司</w:t>
      </w:r>
      <w:r>
        <w:rPr>
          <w:rFonts w:hint="eastAsia" w:ascii="Times New Roman" w:hAnsi="Times New Roman" w:eastAsia="宋体" w:cs="Times New Roman"/>
          <w:kern w:val="2"/>
          <w:sz w:val="21"/>
          <w:szCs w:val="21"/>
          <w:lang w:eastAsia="zh-CN"/>
        </w:rPr>
        <w:t>负责，</w:t>
      </w:r>
      <w:r>
        <w:rPr>
          <w:rFonts w:hint="eastAsia" w:ascii="宋体" w:hAnsi="宋体" w:eastAsia="宋体"/>
          <w:szCs w:val="21"/>
          <w:highlight w:val="none"/>
        </w:rPr>
        <w:t>华北电力大学</w:t>
      </w:r>
      <w:r>
        <w:rPr>
          <w:rFonts w:hint="eastAsia" w:ascii="宋体" w:hAnsi="宋体" w:eastAsia="宋体"/>
          <w:szCs w:val="21"/>
          <w:highlight w:val="none"/>
          <w:lang w:eastAsia="zh-CN"/>
        </w:rPr>
        <w:t>、</w:t>
      </w:r>
      <w:r>
        <w:rPr>
          <w:rFonts w:hint="eastAsia" w:ascii="宋体" w:hAnsi="宋体" w:eastAsia="宋体" w:cs="宋体"/>
          <w:color w:val="000000"/>
          <w:kern w:val="0"/>
          <w:szCs w:val="21"/>
          <w:highlight w:val="none"/>
        </w:rPr>
        <w:t>成都锐思环保技术股份有限公司</w:t>
      </w:r>
      <w:r>
        <w:rPr>
          <w:rFonts w:hint="eastAsia" w:ascii="Times New Roman" w:hAnsi="Times New Roman" w:eastAsia="宋体" w:cs="Times New Roman"/>
          <w:kern w:val="2"/>
          <w:sz w:val="21"/>
          <w:szCs w:val="21"/>
          <w:highlight w:val="none"/>
          <w:lang w:val="en-US" w:eastAsia="zh-CN"/>
        </w:rPr>
        <w:t>、</w:t>
      </w:r>
      <w:r>
        <w:rPr>
          <w:rFonts w:hint="eastAsia" w:ascii="宋体" w:hAnsi="宋体" w:eastAsia="宋体"/>
          <w:szCs w:val="21"/>
          <w:highlight w:val="none"/>
        </w:rPr>
        <w:t>中电华创（苏州）电力技术研究有限公司</w:t>
      </w:r>
      <w:r>
        <w:rPr>
          <w:rFonts w:hint="eastAsia" w:ascii="Times New Roman" w:hAnsi="Times New Roman" w:eastAsia="宋体" w:cs="Times New Roman"/>
          <w:kern w:val="2"/>
          <w:sz w:val="21"/>
          <w:szCs w:val="21"/>
          <w:highlight w:val="none"/>
          <w:lang w:eastAsia="zh-CN"/>
        </w:rPr>
        <w:t>等多家单位参</w:t>
      </w:r>
      <w:r>
        <w:rPr>
          <w:rFonts w:hint="eastAsia" w:ascii="Times New Roman" w:hAnsi="Times New Roman" w:eastAsia="宋体" w:cs="Times New Roman"/>
          <w:kern w:val="2"/>
          <w:sz w:val="21"/>
          <w:szCs w:val="21"/>
          <w:lang w:eastAsia="zh-CN"/>
        </w:rPr>
        <w:t>与该项团体标准制订工作。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1"/>
        <w:rPr>
          <w:rFonts w:hint="eastAsia" w:ascii="黑体" w:hAnsi="黑体" w:eastAsia="黑体" w:cs="黑体"/>
          <w:sz w:val="21"/>
          <w:szCs w:val="21"/>
          <w:lang w:eastAsia="zh-CN"/>
        </w:rPr>
      </w:pPr>
      <w:bookmarkStart w:id="5" w:name="_Toc95852617"/>
      <w:bookmarkStart w:id="6" w:name="_Hlk95769972"/>
      <w:r>
        <w:rPr>
          <w:rFonts w:hint="eastAsia" w:ascii="黑体" w:hAnsi="黑体" w:eastAsia="黑体" w:cs="黑体"/>
          <w:sz w:val="21"/>
          <w:szCs w:val="21"/>
          <w:lang w:eastAsia="zh-CN"/>
        </w:rPr>
        <w:t>1.3主要工作过程</w:t>
      </w:r>
      <w:bookmarkEnd w:id="5"/>
    </w:p>
    <w:bookmarkEnd w:id="6"/>
    <w:p>
      <w:pPr>
        <w:spacing w:line="360" w:lineRule="auto"/>
        <w:ind w:firstLine="420" w:firstLineChars="200"/>
        <w:rPr>
          <w:rFonts w:ascii="黑体" w:hAnsi="黑体" w:eastAsia="黑体" w:cs="黑体"/>
          <w:kern w:val="2"/>
          <w:sz w:val="21"/>
          <w:szCs w:val="21"/>
          <w:lang w:eastAsia="zh-CN"/>
        </w:rPr>
      </w:pPr>
      <w:r>
        <w:rPr>
          <w:rFonts w:hint="eastAsia" w:ascii="黑体" w:hAnsi="黑体" w:eastAsia="黑体" w:cs="黑体"/>
          <w:kern w:val="2"/>
          <w:sz w:val="21"/>
          <w:szCs w:val="21"/>
          <w:lang w:eastAsia="zh-CN"/>
        </w:rPr>
        <w:t>1.3.1成立标准制订编制组</w:t>
      </w:r>
    </w:p>
    <w:p>
      <w:pPr>
        <w:spacing w:line="360" w:lineRule="auto"/>
        <w:ind w:firstLine="420" w:firstLineChars="200"/>
        <w:jc w:val="both"/>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2021年</w:t>
      </w:r>
      <w:r>
        <w:rPr>
          <w:rFonts w:hint="eastAsia" w:ascii="Times New Roman" w:hAnsi="Times New Roman" w:eastAsia="宋体" w:cs="Times New Roman"/>
          <w:kern w:val="2"/>
          <w:sz w:val="21"/>
          <w:szCs w:val="21"/>
          <w:lang w:val="en-US" w:eastAsia="zh-CN"/>
        </w:rPr>
        <w:t>2</w:t>
      </w:r>
      <w:r>
        <w:rPr>
          <w:rFonts w:ascii="Times New Roman" w:hAnsi="Times New Roman" w:eastAsia="宋体" w:cs="Times New Roman"/>
          <w:kern w:val="2"/>
          <w:sz w:val="21"/>
          <w:szCs w:val="21"/>
          <w:lang w:eastAsia="zh-CN"/>
        </w:rPr>
        <w:t>月项目</w:t>
      </w:r>
      <w:r>
        <w:rPr>
          <w:rFonts w:hint="eastAsia" w:ascii="Times New Roman" w:hAnsi="Times New Roman" w:eastAsia="宋体" w:cs="Times New Roman"/>
          <w:kern w:val="2"/>
          <w:sz w:val="21"/>
          <w:szCs w:val="21"/>
          <w:lang w:eastAsia="zh-CN"/>
        </w:rPr>
        <w:t>任务书</w:t>
      </w:r>
      <w:r>
        <w:rPr>
          <w:rFonts w:ascii="Times New Roman" w:hAnsi="Times New Roman" w:eastAsia="宋体" w:cs="Times New Roman"/>
          <w:kern w:val="2"/>
          <w:sz w:val="21"/>
          <w:szCs w:val="21"/>
          <w:lang w:eastAsia="zh-CN"/>
        </w:rPr>
        <w:t>下达后，</w:t>
      </w:r>
      <w:r>
        <w:rPr>
          <w:rFonts w:hint="eastAsia" w:ascii="Times New Roman" w:hAnsi="Times New Roman" w:eastAsia="宋体" w:cs="Times New Roman"/>
          <w:kern w:val="2"/>
          <w:sz w:val="21"/>
          <w:szCs w:val="21"/>
          <w:lang w:val="en-US" w:eastAsia="zh-CN"/>
        </w:rPr>
        <w:t>国能龙源环保有限公司</w:t>
      </w:r>
      <w:r>
        <w:rPr>
          <w:rFonts w:ascii="Times New Roman" w:hAnsi="Times New Roman" w:eastAsia="宋体" w:cs="Times New Roman"/>
          <w:kern w:val="2"/>
          <w:sz w:val="21"/>
          <w:szCs w:val="21"/>
          <w:lang w:eastAsia="zh-CN"/>
        </w:rPr>
        <w:t>成立了标准制订编制组。编制组初步拟定了标准制订的工作目标、工作内容，讨论了在标准过程中可能遇到的问题，根据标准编制任务，制定了详细的标准编制计划与任务分工。分析了现有标准规范的实施情况和实际应用中存在的问题，确定了标准的原则和技术路线。</w:t>
      </w:r>
    </w:p>
    <w:p>
      <w:pPr>
        <w:spacing w:line="360" w:lineRule="auto"/>
        <w:ind w:firstLine="420" w:firstLineChars="200"/>
        <w:rPr>
          <w:rFonts w:ascii="黑体" w:hAnsi="黑体" w:eastAsia="黑体" w:cs="黑体"/>
          <w:kern w:val="2"/>
          <w:sz w:val="21"/>
          <w:szCs w:val="21"/>
          <w:lang w:eastAsia="zh-CN"/>
        </w:rPr>
      </w:pPr>
      <w:r>
        <w:rPr>
          <w:rFonts w:hint="eastAsia" w:ascii="黑体" w:hAnsi="黑体" w:eastAsia="黑体" w:cs="黑体"/>
          <w:kern w:val="2"/>
          <w:sz w:val="21"/>
          <w:szCs w:val="21"/>
          <w:lang w:eastAsia="zh-CN"/>
        </w:rPr>
        <w:t>1.3.2查询国内外相关标准和文献资料、编制大纲及草案</w:t>
      </w:r>
    </w:p>
    <w:p>
      <w:pPr>
        <w:spacing w:line="360" w:lineRule="auto"/>
        <w:ind w:firstLine="420" w:firstLineChars="200"/>
        <w:rPr>
          <w:rFonts w:ascii="Times New Roman" w:hAnsi="Times New Roman" w:eastAsia="宋体" w:cs="Times New Roman"/>
          <w:kern w:val="2"/>
          <w:sz w:val="21"/>
          <w:szCs w:val="21"/>
          <w:highlight w:val="none"/>
          <w:lang w:eastAsia="zh-CN"/>
        </w:rPr>
      </w:pPr>
      <w:r>
        <w:rPr>
          <w:rFonts w:hint="eastAsia" w:ascii="Times New Roman" w:hAnsi="Times New Roman" w:eastAsia="宋体" w:cs="Times New Roman"/>
          <w:kern w:val="2"/>
          <w:sz w:val="21"/>
          <w:szCs w:val="21"/>
          <w:lang w:eastAsia="zh-CN"/>
        </w:rPr>
        <w:t>标准编制组根据《标准化工作导则 第1部分:标准化文件的结构和起草规则》（GB/T 1.1-2020）、《国家环境保护标准制修订工作管理办法》（国环规科技 〔2017〕1 号）、《环境保护标准编制出版技术指南》（HJ 565-2010）等相关规定，查询和收集了国内外相关标准和文献资料。编制组</w:t>
      </w:r>
      <w:r>
        <w:rPr>
          <w:rFonts w:hint="default" w:ascii="Times New Roman" w:hAnsi="Times New Roman" w:eastAsia="宋体" w:cs="Times New Roman"/>
          <w:kern w:val="2"/>
          <w:sz w:val="21"/>
          <w:szCs w:val="21"/>
          <w:lang w:val="en-US" w:eastAsia="zh-CN"/>
        </w:rPr>
        <w:t>以国家环境保护现</w:t>
      </w:r>
      <w:r>
        <w:rPr>
          <w:rFonts w:hint="default" w:ascii="Times New Roman" w:hAnsi="Times New Roman" w:eastAsia="宋体" w:cs="Times New Roman"/>
          <w:kern w:val="2"/>
          <w:sz w:val="21"/>
          <w:szCs w:val="21"/>
          <w:highlight w:val="none"/>
          <w:lang w:val="en-US" w:eastAsia="zh-CN"/>
        </w:rPr>
        <w:t>有法律、法规、标准为主要依据，同时参考电力行业其他相关的技术规范和设计手册，结合国内外有关火电厂废水治理工程建设运行的文献以及调研国内火电厂脱硫废水治理工程运行</w:t>
      </w:r>
      <w:r>
        <w:rPr>
          <w:rFonts w:hint="eastAsia" w:ascii="Times New Roman" w:hAnsi="Times New Roman" w:eastAsia="宋体" w:cs="Times New Roman"/>
          <w:kern w:val="2"/>
          <w:sz w:val="21"/>
          <w:szCs w:val="21"/>
          <w:highlight w:val="none"/>
          <w:lang w:val="en-US" w:eastAsia="zh-CN"/>
        </w:rPr>
        <w:t>现状，总结脱硫废水治理现状调研、参与企业在项目实施中的经验等相关工作成果，为后续标准提供资料支撑。</w:t>
      </w:r>
    </w:p>
    <w:p>
      <w:pPr>
        <w:spacing w:line="360" w:lineRule="auto"/>
        <w:ind w:firstLine="420" w:firstLineChars="200"/>
        <w:rPr>
          <w:rFonts w:ascii="黑体" w:hAnsi="黑体" w:eastAsia="黑体" w:cs="黑体"/>
          <w:kern w:val="2"/>
          <w:sz w:val="21"/>
          <w:szCs w:val="21"/>
          <w:highlight w:val="none"/>
          <w:lang w:eastAsia="zh-CN"/>
        </w:rPr>
      </w:pPr>
      <w:r>
        <w:rPr>
          <w:rFonts w:hint="eastAsia" w:ascii="黑体" w:hAnsi="黑体" w:eastAsia="黑体" w:cs="黑体"/>
          <w:kern w:val="2"/>
          <w:sz w:val="21"/>
          <w:szCs w:val="21"/>
          <w:highlight w:val="none"/>
          <w:lang w:eastAsia="zh-CN"/>
        </w:rPr>
        <w:t>1.3.3编制征求意见稿和编制说明</w:t>
      </w:r>
    </w:p>
    <w:p>
      <w:pPr>
        <w:spacing w:line="360" w:lineRule="auto"/>
        <w:ind w:firstLine="420" w:firstLineChars="200"/>
        <w:jc w:val="both"/>
        <w:rPr>
          <w:rFonts w:hint="default" w:ascii="Times New Roman" w:hAnsi="Times New Roman" w:eastAsia="宋体" w:cs="Times New Roman"/>
          <w:kern w:val="2"/>
          <w:sz w:val="21"/>
          <w:szCs w:val="21"/>
          <w:highlight w:val="none"/>
          <w:lang w:val="en-US" w:eastAsia="zh-CN"/>
        </w:rPr>
      </w:pPr>
      <w:r>
        <w:rPr>
          <w:rFonts w:ascii="Times New Roman" w:hAnsi="Times New Roman" w:eastAsia="宋体" w:cs="Times New Roman"/>
          <w:kern w:val="2"/>
          <w:sz w:val="21"/>
          <w:szCs w:val="21"/>
          <w:highlight w:val="none"/>
          <w:lang w:eastAsia="zh-CN"/>
        </w:rPr>
        <w:t>2021 年</w:t>
      </w:r>
      <w:r>
        <w:rPr>
          <w:rFonts w:hint="eastAsia" w:ascii="Times New Roman" w:hAnsi="Times New Roman" w:eastAsia="宋体" w:cs="Times New Roman"/>
          <w:kern w:val="2"/>
          <w:sz w:val="21"/>
          <w:szCs w:val="21"/>
          <w:highlight w:val="none"/>
          <w:lang w:eastAsia="zh-CN"/>
        </w:rPr>
        <w:t>10</w:t>
      </w:r>
      <w:r>
        <w:rPr>
          <w:rFonts w:ascii="Times New Roman" w:hAnsi="Times New Roman" w:eastAsia="宋体" w:cs="Times New Roman"/>
          <w:kern w:val="2"/>
          <w:sz w:val="21"/>
          <w:szCs w:val="21"/>
          <w:highlight w:val="none"/>
          <w:lang w:eastAsia="zh-CN"/>
        </w:rPr>
        <w:t>月~</w:t>
      </w:r>
      <w:r>
        <w:rPr>
          <w:rFonts w:hint="eastAsia" w:ascii="Times New Roman" w:hAnsi="Times New Roman" w:eastAsia="宋体" w:cs="Times New Roman"/>
          <w:kern w:val="2"/>
          <w:sz w:val="21"/>
          <w:szCs w:val="21"/>
          <w:highlight w:val="none"/>
          <w:lang w:eastAsia="zh-CN"/>
        </w:rPr>
        <w:t>1</w:t>
      </w:r>
      <w:r>
        <w:rPr>
          <w:rFonts w:hint="eastAsia" w:ascii="Times New Roman" w:hAnsi="Times New Roman" w:eastAsia="宋体" w:cs="Times New Roman"/>
          <w:kern w:val="2"/>
          <w:sz w:val="21"/>
          <w:szCs w:val="21"/>
          <w:highlight w:val="none"/>
          <w:lang w:val="en-US" w:eastAsia="zh-CN"/>
        </w:rPr>
        <w:t>2</w:t>
      </w:r>
      <w:r>
        <w:rPr>
          <w:rFonts w:ascii="Times New Roman" w:hAnsi="Times New Roman" w:eastAsia="宋体" w:cs="Times New Roman"/>
          <w:kern w:val="2"/>
          <w:sz w:val="21"/>
          <w:szCs w:val="21"/>
          <w:highlight w:val="none"/>
          <w:lang w:eastAsia="zh-CN"/>
        </w:rPr>
        <w:t>月，编制组</w:t>
      </w:r>
      <w:r>
        <w:rPr>
          <w:rFonts w:hint="eastAsia" w:ascii="Times New Roman" w:hAnsi="Times New Roman" w:eastAsia="宋体" w:cs="Times New Roman"/>
          <w:kern w:val="2"/>
          <w:sz w:val="21"/>
          <w:szCs w:val="21"/>
          <w:highlight w:val="none"/>
          <w:lang w:val="en-US" w:eastAsia="zh-CN"/>
        </w:rPr>
        <w:t>赴国能泰州发电有限公司、国能宿迁发电有限公司、南通天生港发电有限公司废水零排放项目进行实地调研；2022年1月~5月，</w:t>
      </w:r>
      <w:r>
        <w:rPr>
          <w:rFonts w:ascii="Times New Roman" w:hAnsi="Times New Roman" w:eastAsia="宋体" w:cs="Times New Roman"/>
          <w:kern w:val="2"/>
          <w:sz w:val="21"/>
          <w:szCs w:val="21"/>
          <w:highlight w:val="none"/>
          <w:lang w:eastAsia="zh-CN"/>
        </w:rPr>
        <w:t>通过文献调研结合现场</w:t>
      </w:r>
      <w:r>
        <w:rPr>
          <w:rFonts w:hint="eastAsia" w:ascii="Times New Roman" w:hAnsi="Times New Roman" w:eastAsia="宋体" w:cs="Times New Roman"/>
          <w:kern w:val="2"/>
          <w:sz w:val="21"/>
          <w:szCs w:val="21"/>
          <w:highlight w:val="none"/>
          <w:lang w:eastAsia="zh-CN"/>
        </w:rPr>
        <w:t>考察</w:t>
      </w:r>
      <w:r>
        <w:rPr>
          <w:rFonts w:ascii="Times New Roman" w:hAnsi="Times New Roman" w:eastAsia="宋体" w:cs="Times New Roman"/>
          <w:kern w:val="2"/>
          <w:sz w:val="21"/>
          <w:szCs w:val="21"/>
          <w:highlight w:val="none"/>
          <w:lang w:eastAsia="zh-CN"/>
        </w:rPr>
        <w:t>，形成了</w:t>
      </w:r>
      <w:r>
        <w:rPr>
          <w:rFonts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eastAsia="zh-CN"/>
        </w:rPr>
        <w:t>燃煤锅炉脱硫废水烟气余热浓缩及浆液干燥固化工程技术规范（</w:t>
      </w:r>
      <w:r>
        <w:rPr>
          <w:rFonts w:hint="eastAsia" w:ascii="Times New Roman" w:hAnsi="Times New Roman" w:eastAsia="宋体" w:cs="Times New Roman"/>
          <w:kern w:val="2"/>
          <w:sz w:val="21"/>
          <w:szCs w:val="21"/>
          <w:lang w:val="en-US" w:eastAsia="zh-CN"/>
        </w:rPr>
        <w:t>草案稿</w:t>
      </w:r>
      <w:r>
        <w:rPr>
          <w:rFonts w:hint="eastAsia" w:ascii="Times New Roman" w:hAnsi="Times New Roman" w:eastAsia="宋体" w:cs="Times New Roman"/>
          <w:kern w:val="2"/>
          <w:sz w:val="21"/>
          <w:szCs w:val="21"/>
          <w:lang w:eastAsia="zh-CN"/>
        </w:rPr>
        <w:t>）》</w:t>
      </w:r>
      <w:r>
        <w:rPr>
          <w:rFonts w:ascii="Times New Roman" w:hAnsi="Times New Roman" w:eastAsia="宋体" w:cs="Times New Roman"/>
          <w:kern w:val="2"/>
          <w:sz w:val="21"/>
          <w:szCs w:val="21"/>
          <w:highlight w:val="none"/>
          <w:lang w:eastAsia="zh-CN"/>
        </w:rPr>
        <w:t>。</w:t>
      </w:r>
      <w:r>
        <w:rPr>
          <w:rFonts w:hint="eastAsia" w:ascii="Times New Roman" w:hAnsi="Times New Roman" w:eastAsia="宋体" w:cs="Times New Roman"/>
          <w:kern w:val="2"/>
          <w:sz w:val="21"/>
          <w:szCs w:val="21"/>
          <w:highlight w:val="none"/>
          <w:lang w:eastAsia="zh-CN"/>
        </w:rPr>
        <w:t>在此基础上，编制组按章节分组，</w:t>
      </w:r>
      <w:r>
        <w:rPr>
          <w:rFonts w:hint="eastAsia" w:ascii="Times New Roman" w:hAnsi="Times New Roman" w:eastAsia="宋体" w:cs="Times New Roman"/>
          <w:kern w:val="2"/>
          <w:sz w:val="21"/>
          <w:szCs w:val="21"/>
          <w:highlight w:val="none"/>
          <w:lang w:val="en-US" w:eastAsia="zh-CN"/>
        </w:rPr>
        <w:t>经过4</w:t>
      </w:r>
      <w:r>
        <w:rPr>
          <w:rFonts w:hint="eastAsia" w:ascii="Times New Roman" w:hAnsi="Times New Roman" w:eastAsia="宋体" w:cs="Times New Roman"/>
          <w:kern w:val="2"/>
          <w:sz w:val="21"/>
          <w:szCs w:val="21"/>
          <w:highlight w:val="none"/>
          <w:lang w:eastAsia="zh-CN"/>
        </w:rPr>
        <w:t>次远程会议讨论修改了标准草案，并由主编单位汇总，形成正式的</w:t>
      </w:r>
      <w:r>
        <w:rPr>
          <w:rFonts w:hint="eastAsia" w:ascii="Times New Roman" w:hAnsi="Times New Roman" w:eastAsia="宋体" w:cs="Times New Roman"/>
          <w:kern w:val="2"/>
          <w:sz w:val="21"/>
          <w:szCs w:val="21"/>
          <w:highlight w:val="none"/>
          <w:lang w:val="en-US" w:eastAsia="zh-CN"/>
        </w:rPr>
        <w:t>专家评审</w:t>
      </w:r>
      <w:r>
        <w:rPr>
          <w:rFonts w:hint="eastAsia" w:ascii="Times New Roman" w:hAnsi="Times New Roman" w:eastAsia="宋体" w:cs="Times New Roman"/>
          <w:kern w:val="2"/>
          <w:sz w:val="21"/>
          <w:szCs w:val="21"/>
          <w:highlight w:val="none"/>
          <w:lang w:eastAsia="zh-CN"/>
        </w:rPr>
        <w:t>稿。</w:t>
      </w:r>
    </w:p>
    <w:p>
      <w:pPr>
        <w:spacing w:line="360" w:lineRule="auto"/>
        <w:ind w:firstLine="420" w:firstLineChars="200"/>
        <w:jc w:val="both"/>
        <w:rPr>
          <w:rFonts w:hint="eastAsia" w:ascii="Times New Roman" w:hAnsi="Times New Roman" w:eastAsia="宋体" w:cs="Times New Roman"/>
          <w:kern w:val="2"/>
          <w:sz w:val="21"/>
          <w:szCs w:val="21"/>
          <w:highlight w:val="none"/>
          <w:lang w:eastAsia="zh-CN"/>
        </w:rPr>
      </w:pPr>
      <w:r>
        <w:rPr>
          <w:rFonts w:hint="eastAsia" w:ascii="Times New Roman" w:hAnsi="Times New Roman" w:eastAsia="宋体" w:cs="Times New Roman"/>
          <w:kern w:val="2"/>
          <w:sz w:val="21"/>
          <w:szCs w:val="21"/>
          <w:highlight w:val="none"/>
          <w:lang w:val="en-US" w:eastAsia="zh-CN"/>
        </w:rPr>
        <w:t>2022年6月~2022年8月</w:t>
      </w:r>
      <w:r>
        <w:rPr>
          <w:rFonts w:ascii="Times New Roman" w:hAnsi="Times New Roman" w:eastAsia="宋体" w:cs="Times New Roman"/>
          <w:kern w:val="2"/>
          <w:sz w:val="21"/>
          <w:szCs w:val="21"/>
          <w:highlight w:val="none"/>
          <w:lang w:eastAsia="zh-CN"/>
        </w:rPr>
        <w:t>，</w:t>
      </w:r>
      <w:r>
        <w:rPr>
          <w:rFonts w:hint="eastAsia" w:ascii="Times New Roman" w:hAnsi="Times New Roman" w:eastAsia="宋体" w:cs="Times New Roman"/>
          <w:kern w:val="2"/>
          <w:sz w:val="21"/>
          <w:szCs w:val="21"/>
          <w:highlight w:val="none"/>
          <w:lang w:val="en-US" w:eastAsia="zh-CN"/>
        </w:rPr>
        <w:t>编制组召开多次论证会议，逐条对草案稿专家意见进行了充分讨论，原则上全部采纳或部分采纳专家意见，个别环节提出了反馈意见供专家组参考，最终形成了</w:t>
      </w:r>
      <w:r>
        <w:rPr>
          <w:rFonts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eastAsia="zh-CN"/>
        </w:rPr>
        <w:t>燃煤锅炉脱硫废水烟气余热浓缩及浆液干燥固化工程技术规范（</w:t>
      </w:r>
      <w:r>
        <w:rPr>
          <w:rFonts w:hint="eastAsia" w:ascii="Times New Roman" w:hAnsi="Times New Roman" w:eastAsia="宋体" w:cs="Times New Roman"/>
          <w:kern w:val="2"/>
          <w:sz w:val="21"/>
          <w:szCs w:val="21"/>
          <w:lang w:val="en-US" w:eastAsia="zh-CN"/>
        </w:rPr>
        <w:t>征求意见稿</w:t>
      </w:r>
      <w:r>
        <w:rPr>
          <w:rFonts w:hint="eastAsia"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val="en-US" w:eastAsia="zh-CN"/>
        </w:rPr>
        <w:t>和编制说明</w:t>
      </w:r>
      <w:r>
        <w:rPr>
          <w:rFonts w:hint="eastAsia" w:ascii="Times New Roman" w:hAnsi="Times New Roman" w:eastAsia="宋体" w:cs="Times New Roman"/>
          <w:kern w:val="2"/>
          <w:sz w:val="21"/>
          <w:szCs w:val="21"/>
          <w:highlight w:val="none"/>
          <w:lang w:eastAsia="zh-CN"/>
        </w:rPr>
        <w:t>。</w:t>
      </w:r>
      <w:bookmarkStart w:id="7" w:name="_Toc95852619"/>
    </w:p>
    <w:p>
      <w:pPr>
        <w:spacing w:line="360" w:lineRule="auto"/>
        <w:ind w:firstLine="420" w:firstLineChars="200"/>
        <w:rPr>
          <w:rFonts w:ascii="黑体" w:hAnsi="黑体" w:eastAsia="黑体" w:cs="黑体"/>
          <w:kern w:val="2"/>
          <w:sz w:val="21"/>
          <w:szCs w:val="21"/>
          <w:highlight w:val="none"/>
          <w:lang w:eastAsia="zh-CN"/>
        </w:rPr>
      </w:pPr>
      <w:r>
        <w:rPr>
          <w:rFonts w:hint="eastAsia" w:ascii="黑体" w:hAnsi="黑体" w:eastAsia="黑体" w:cs="黑体"/>
          <w:kern w:val="2"/>
          <w:sz w:val="21"/>
          <w:szCs w:val="21"/>
          <w:highlight w:val="none"/>
          <w:lang w:eastAsia="zh-CN"/>
        </w:rPr>
        <w:t>1.3.</w:t>
      </w:r>
      <w:r>
        <w:rPr>
          <w:rFonts w:hint="eastAsia" w:ascii="黑体" w:hAnsi="黑体" w:eastAsia="黑体" w:cs="黑体"/>
          <w:kern w:val="2"/>
          <w:sz w:val="21"/>
          <w:szCs w:val="21"/>
          <w:highlight w:val="none"/>
          <w:lang w:val="en-US" w:eastAsia="zh-CN"/>
        </w:rPr>
        <w:t>4</w:t>
      </w:r>
      <w:r>
        <w:rPr>
          <w:rFonts w:hint="eastAsia" w:ascii="黑体" w:hAnsi="黑体" w:eastAsia="黑体" w:cs="黑体"/>
          <w:kern w:val="2"/>
          <w:sz w:val="21"/>
          <w:szCs w:val="21"/>
          <w:highlight w:val="none"/>
          <w:lang w:eastAsia="zh-CN"/>
        </w:rPr>
        <w:t>编制</w:t>
      </w:r>
      <w:r>
        <w:rPr>
          <w:rFonts w:hint="eastAsia" w:ascii="黑体" w:hAnsi="黑体" w:eastAsia="黑体" w:cs="黑体"/>
          <w:kern w:val="2"/>
          <w:sz w:val="21"/>
          <w:szCs w:val="21"/>
          <w:highlight w:val="none"/>
          <w:lang w:val="en-US" w:eastAsia="zh-CN"/>
        </w:rPr>
        <w:t>送审</w:t>
      </w:r>
      <w:r>
        <w:rPr>
          <w:rFonts w:hint="eastAsia" w:ascii="黑体" w:hAnsi="黑体" w:eastAsia="黑体" w:cs="黑体"/>
          <w:kern w:val="2"/>
          <w:sz w:val="21"/>
          <w:szCs w:val="21"/>
          <w:highlight w:val="none"/>
          <w:lang w:eastAsia="zh-CN"/>
        </w:rPr>
        <w:t>稿、</w:t>
      </w:r>
      <w:r>
        <w:rPr>
          <w:rFonts w:hint="eastAsia" w:ascii="黑体" w:hAnsi="黑体" w:eastAsia="黑体" w:cs="黑体"/>
          <w:kern w:val="2"/>
          <w:sz w:val="21"/>
          <w:szCs w:val="21"/>
          <w:highlight w:val="none"/>
          <w:lang w:val="en-US" w:eastAsia="zh-CN"/>
        </w:rPr>
        <w:t>完善</w:t>
      </w:r>
      <w:r>
        <w:rPr>
          <w:rFonts w:hint="eastAsia" w:ascii="黑体" w:hAnsi="黑体" w:eastAsia="黑体" w:cs="黑体"/>
          <w:kern w:val="2"/>
          <w:sz w:val="21"/>
          <w:szCs w:val="21"/>
          <w:highlight w:val="none"/>
          <w:lang w:eastAsia="zh-CN"/>
        </w:rPr>
        <w:t>编制说明</w:t>
      </w:r>
    </w:p>
    <w:p>
      <w:pPr>
        <w:spacing w:line="360" w:lineRule="auto"/>
        <w:ind w:firstLine="420" w:firstLineChars="200"/>
        <w:jc w:val="both"/>
        <w:rPr>
          <w:rFonts w:ascii="Times New Roman" w:hAnsi="Times New Roman" w:eastAsia="宋体" w:cs="Times New Roman"/>
          <w:kern w:val="2"/>
          <w:sz w:val="21"/>
          <w:szCs w:val="21"/>
          <w:highlight w:val="none"/>
          <w:lang w:eastAsia="zh-CN"/>
        </w:rPr>
      </w:pPr>
      <w:r>
        <w:rPr>
          <w:rFonts w:hint="eastAsia" w:ascii="Times New Roman" w:hAnsi="Times New Roman" w:eastAsia="宋体" w:cs="Times New Roman"/>
          <w:kern w:val="2"/>
          <w:sz w:val="21"/>
          <w:szCs w:val="21"/>
          <w:highlight w:val="none"/>
          <w:lang w:val="en-US" w:eastAsia="zh-CN"/>
        </w:rPr>
        <w:t>2022年于9</w:t>
      </w:r>
      <w:r>
        <w:rPr>
          <w:rFonts w:hint="eastAsia" w:ascii="Times New Roman" w:hAnsi="Times New Roman" w:eastAsia="宋体" w:cs="Times New Roman"/>
          <w:kern w:val="2"/>
          <w:sz w:val="21"/>
          <w:szCs w:val="21"/>
          <w:highlight w:val="none"/>
          <w:lang w:eastAsia="zh-CN"/>
        </w:rPr>
        <w:t>月</w:t>
      </w:r>
      <w:r>
        <w:rPr>
          <w:rFonts w:hint="eastAsia" w:ascii="Times New Roman" w:hAnsi="Times New Roman" w:eastAsia="宋体" w:cs="Times New Roman"/>
          <w:kern w:val="2"/>
          <w:sz w:val="21"/>
          <w:szCs w:val="21"/>
          <w:highlight w:val="none"/>
          <w:lang w:val="en-US" w:eastAsia="zh-CN"/>
        </w:rPr>
        <w:t>1</w:t>
      </w:r>
      <w:r>
        <w:rPr>
          <w:rFonts w:hint="eastAsia" w:ascii="Times New Roman" w:hAnsi="Times New Roman" w:eastAsia="宋体" w:cs="Times New Roman"/>
          <w:kern w:val="2"/>
          <w:sz w:val="21"/>
          <w:szCs w:val="21"/>
          <w:highlight w:val="none"/>
          <w:lang w:eastAsia="zh-CN"/>
        </w:rPr>
        <w:t>3</w:t>
      </w:r>
      <w:r>
        <w:rPr>
          <w:rFonts w:hint="eastAsia" w:ascii="Times New Roman" w:hAnsi="Times New Roman" w:eastAsia="宋体" w:cs="Times New Roman"/>
          <w:kern w:val="2"/>
          <w:sz w:val="21"/>
          <w:szCs w:val="21"/>
          <w:highlight w:val="none"/>
          <w:lang w:val="en-US" w:eastAsia="zh-CN"/>
        </w:rPr>
        <w:t>日</w:t>
      </w:r>
      <w:r>
        <w:rPr>
          <w:rFonts w:ascii="Times New Roman" w:hAnsi="Times New Roman" w:eastAsia="宋体" w:cs="Times New Roman"/>
          <w:kern w:val="2"/>
          <w:sz w:val="21"/>
          <w:szCs w:val="21"/>
          <w:highlight w:val="none"/>
          <w:lang w:eastAsia="zh-CN"/>
        </w:rPr>
        <w:t>，</w:t>
      </w:r>
      <w:r>
        <w:rPr>
          <w:rFonts w:hint="eastAsia" w:ascii="Times New Roman" w:hAnsi="Times New Roman" w:eastAsia="宋体" w:cs="Times New Roman"/>
          <w:kern w:val="2"/>
          <w:sz w:val="21"/>
          <w:szCs w:val="21"/>
          <w:highlight w:val="none"/>
          <w:lang w:val="en-US" w:eastAsia="zh-CN"/>
        </w:rPr>
        <w:t>中华环保联合会水环境治理专业委员会组织召开</w:t>
      </w:r>
      <w:r>
        <w:rPr>
          <w:rFonts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eastAsia="zh-CN"/>
        </w:rPr>
        <w:t>燃煤锅炉脱硫废水烟气余热浓缩及浆液干燥固化工程技术规范（</w:t>
      </w:r>
      <w:r>
        <w:rPr>
          <w:rFonts w:hint="eastAsia" w:ascii="Times New Roman" w:hAnsi="Times New Roman" w:eastAsia="宋体" w:cs="Times New Roman"/>
          <w:kern w:val="2"/>
          <w:sz w:val="21"/>
          <w:szCs w:val="21"/>
          <w:lang w:val="en-US" w:eastAsia="zh-CN"/>
        </w:rPr>
        <w:t>征求意见稿</w:t>
      </w:r>
      <w:r>
        <w:rPr>
          <w:rFonts w:hint="eastAsia"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val="en-US" w:eastAsia="zh-CN"/>
        </w:rPr>
        <w:t>技术审查会。</w:t>
      </w:r>
      <w:r>
        <w:rPr>
          <w:rFonts w:hint="eastAsia" w:ascii="Times New Roman" w:hAnsi="Times New Roman" w:eastAsia="宋体" w:cs="Times New Roman"/>
          <w:kern w:val="2"/>
          <w:sz w:val="21"/>
          <w:szCs w:val="21"/>
          <w:highlight w:val="none"/>
          <w:lang w:val="en-US" w:eastAsia="zh-CN"/>
        </w:rPr>
        <w:t>专家组逐条审查并对文件进行指导，提出相应修改意见。会后，编制组对送审稿按照专家组意见，认真组织修改完善，形成公开征求意见稿，并将标准名称改为</w:t>
      </w:r>
      <w:r>
        <w:rPr>
          <w:rFonts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eastAsia="zh-CN"/>
        </w:rPr>
        <w:t>燃煤锅炉脱硫废水烟气余热浓缩干燥技术指南》</w:t>
      </w:r>
      <w:r>
        <w:rPr>
          <w:rFonts w:hint="eastAsia" w:ascii="Times New Roman" w:hAnsi="Times New Roman" w:eastAsia="宋体" w:cs="Times New Roman"/>
          <w:kern w:val="2"/>
          <w:sz w:val="21"/>
          <w:szCs w:val="21"/>
          <w:highlight w:val="none"/>
          <w:lang w:eastAsia="zh-CN"/>
        </w:rPr>
        <w:t>。</w:t>
      </w:r>
    </w:p>
    <w:p>
      <w:pPr>
        <w:spacing w:line="360" w:lineRule="auto"/>
        <w:ind w:firstLine="420" w:firstLineChars="200"/>
        <w:jc w:val="both"/>
        <w:rPr>
          <w:rFonts w:hint="eastAsia" w:ascii="Times New Roman" w:hAnsi="Times New Roman" w:eastAsia="宋体" w:cs="Times New Roman"/>
          <w:kern w:val="2"/>
          <w:sz w:val="21"/>
          <w:szCs w:val="21"/>
          <w:highlight w:val="none"/>
          <w:lang w:val="en-US" w:eastAsia="zh-CN"/>
        </w:rPr>
      </w:pPr>
      <w:r>
        <w:rPr>
          <w:rFonts w:ascii="Times New Roman" w:hAnsi="Times New Roman" w:eastAsia="宋体" w:cs="Times New Roman"/>
          <w:kern w:val="2"/>
          <w:sz w:val="21"/>
          <w:szCs w:val="21"/>
          <w:highlight w:val="none"/>
          <w:lang w:eastAsia="zh-CN"/>
        </w:rPr>
        <w:t>202</w:t>
      </w:r>
      <w:r>
        <w:rPr>
          <w:rFonts w:hint="eastAsia" w:ascii="Times New Roman" w:hAnsi="Times New Roman" w:eastAsia="宋体" w:cs="Times New Roman"/>
          <w:kern w:val="2"/>
          <w:sz w:val="21"/>
          <w:szCs w:val="21"/>
          <w:highlight w:val="none"/>
          <w:lang w:val="en-US" w:eastAsia="zh-CN"/>
        </w:rPr>
        <w:t>2</w:t>
      </w:r>
      <w:r>
        <w:rPr>
          <w:rFonts w:ascii="Times New Roman" w:hAnsi="Times New Roman" w:eastAsia="宋体" w:cs="Times New Roman"/>
          <w:kern w:val="2"/>
          <w:sz w:val="21"/>
          <w:szCs w:val="21"/>
          <w:highlight w:val="none"/>
          <w:lang w:eastAsia="zh-CN"/>
        </w:rPr>
        <w:t xml:space="preserve"> 年</w:t>
      </w:r>
      <w:r>
        <w:rPr>
          <w:rFonts w:hint="eastAsia" w:ascii="Times New Roman" w:hAnsi="Times New Roman" w:eastAsia="宋体" w:cs="Times New Roman"/>
          <w:kern w:val="2"/>
          <w:sz w:val="21"/>
          <w:szCs w:val="21"/>
          <w:highlight w:val="none"/>
          <w:lang w:eastAsia="zh-CN"/>
        </w:rPr>
        <w:t>10</w:t>
      </w:r>
      <w:r>
        <w:rPr>
          <w:rFonts w:ascii="Times New Roman" w:hAnsi="Times New Roman" w:eastAsia="宋体" w:cs="Times New Roman"/>
          <w:kern w:val="2"/>
          <w:sz w:val="21"/>
          <w:szCs w:val="21"/>
          <w:highlight w:val="none"/>
          <w:lang w:eastAsia="zh-CN"/>
        </w:rPr>
        <w:t>月</w:t>
      </w:r>
      <w:r>
        <w:rPr>
          <w:rFonts w:hint="eastAsia" w:ascii="Times New Roman" w:hAnsi="Times New Roman" w:eastAsia="宋体" w:cs="Times New Roman"/>
          <w:kern w:val="2"/>
          <w:sz w:val="21"/>
          <w:szCs w:val="21"/>
          <w:highlight w:val="none"/>
          <w:lang w:val="en-US" w:eastAsia="zh-CN"/>
        </w:rPr>
        <w:t>10日</w:t>
      </w:r>
      <w:r>
        <w:rPr>
          <w:rFonts w:ascii="Times New Roman" w:hAnsi="Times New Roman" w:eastAsia="宋体" w:cs="Times New Roman"/>
          <w:kern w:val="2"/>
          <w:sz w:val="21"/>
          <w:szCs w:val="21"/>
          <w:highlight w:val="none"/>
          <w:lang w:eastAsia="zh-CN"/>
        </w:rPr>
        <w:t>，</w:t>
      </w:r>
      <w:r>
        <w:rPr>
          <w:rFonts w:hint="eastAsia" w:ascii="Times New Roman" w:hAnsi="Times New Roman" w:eastAsia="宋体" w:cs="Times New Roman"/>
          <w:kern w:val="2"/>
          <w:sz w:val="21"/>
          <w:szCs w:val="21"/>
          <w:highlight w:val="none"/>
          <w:lang w:val="en-US" w:eastAsia="zh-CN"/>
        </w:rPr>
        <w:t>中华环保联合会发布关于《</w:t>
      </w:r>
      <w:r>
        <w:rPr>
          <w:rFonts w:hint="eastAsia" w:ascii="Times New Roman" w:hAnsi="Times New Roman" w:eastAsia="宋体" w:cs="Times New Roman"/>
          <w:kern w:val="2"/>
          <w:sz w:val="21"/>
          <w:szCs w:val="21"/>
          <w:lang w:eastAsia="zh-CN"/>
        </w:rPr>
        <w:t>燃煤锅炉脱硫废水烟气余热浓缩干燥技术指南</w:t>
      </w:r>
      <w:r>
        <w:rPr>
          <w:rFonts w:hint="eastAsia" w:ascii="Times New Roman" w:hAnsi="Times New Roman" w:eastAsia="宋体" w:cs="Times New Roman"/>
          <w:kern w:val="2"/>
          <w:sz w:val="21"/>
          <w:szCs w:val="21"/>
          <w:highlight w:val="none"/>
          <w:lang w:val="en-US" w:eastAsia="zh-CN"/>
        </w:rPr>
        <w:t>》团体标准征求意见的涵，公开向社会征求意见。共计9家高新、科研机构和企业等提出相关建议条47，专家评审提出修改意见16条，累计收到提出修改建议63条，经编制组认真讨论，采纳或部分采纳59条，未采纳4条。至此，形成</w:t>
      </w:r>
      <w:r>
        <w:rPr>
          <w:rFonts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eastAsia="zh-CN"/>
        </w:rPr>
        <w:t>燃煤锅炉脱硫废水烟气余热浓缩干燥技术指南（</w:t>
      </w:r>
      <w:r>
        <w:rPr>
          <w:rFonts w:hint="eastAsia" w:ascii="Times New Roman" w:hAnsi="Times New Roman" w:eastAsia="宋体" w:cs="Times New Roman"/>
          <w:kern w:val="2"/>
          <w:sz w:val="21"/>
          <w:szCs w:val="21"/>
          <w:lang w:val="en-US" w:eastAsia="zh-CN"/>
        </w:rPr>
        <w:t>送审稿）</w:t>
      </w:r>
      <w:r>
        <w:rPr>
          <w:rFonts w:hint="eastAsia"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highlight w:val="none"/>
          <w:lang w:val="en-US" w:eastAsia="zh-CN"/>
        </w:rPr>
        <w:t>。</w:t>
      </w:r>
    </w:p>
    <w:p>
      <w:pPr>
        <w:spacing w:line="360" w:lineRule="auto"/>
        <w:ind w:firstLine="420" w:firstLineChars="200"/>
        <w:rPr>
          <w:rFonts w:ascii="黑体" w:hAnsi="黑体" w:eastAsia="黑体" w:cs="黑体"/>
          <w:kern w:val="2"/>
          <w:sz w:val="21"/>
          <w:szCs w:val="21"/>
          <w:highlight w:val="none"/>
          <w:lang w:eastAsia="zh-CN"/>
        </w:rPr>
      </w:pPr>
      <w:r>
        <w:rPr>
          <w:rFonts w:hint="eastAsia" w:ascii="黑体" w:hAnsi="黑体" w:eastAsia="黑体" w:cs="黑体"/>
          <w:kern w:val="2"/>
          <w:sz w:val="21"/>
          <w:szCs w:val="21"/>
          <w:highlight w:val="none"/>
          <w:lang w:eastAsia="zh-CN"/>
        </w:rPr>
        <w:t>1.3.</w:t>
      </w:r>
      <w:r>
        <w:rPr>
          <w:rFonts w:hint="eastAsia" w:ascii="黑体" w:hAnsi="黑体" w:eastAsia="黑体" w:cs="黑体"/>
          <w:kern w:val="2"/>
          <w:sz w:val="21"/>
          <w:szCs w:val="21"/>
          <w:highlight w:val="none"/>
          <w:lang w:val="en-US" w:eastAsia="zh-CN"/>
        </w:rPr>
        <w:t>5</w:t>
      </w:r>
      <w:r>
        <w:rPr>
          <w:rFonts w:hint="eastAsia" w:ascii="黑体" w:hAnsi="黑体" w:eastAsia="黑体" w:cs="黑体"/>
          <w:kern w:val="2"/>
          <w:sz w:val="21"/>
          <w:szCs w:val="21"/>
          <w:highlight w:val="none"/>
          <w:lang w:eastAsia="zh-CN"/>
        </w:rPr>
        <w:t>编制</w:t>
      </w:r>
      <w:r>
        <w:rPr>
          <w:rFonts w:hint="eastAsia" w:ascii="黑体" w:hAnsi="黑体" w:eastAsia="黑体" w:cs="黑体"/>
          <w:kern w:val="2"/>
          <w:sz w:val="21"/>
          <w:szCs w:val="21"/>
          <w:highlight w:val="none"/>
          <w:lang w:val="en-US" w:eastAsia="zh-CN"/>
        </w:rPr>
        <w:t>报批</w:t>
      </w:r>
      <w:r>
        <w:rPr>
          <w:rFonts w:hint="eastAsia" w:ascii="黑体" w:hAnsi="黑体" w:eastAsia="黑体" w:cs="黑体"/>
          <w:kern w:val="2"/>
          <w:sz w:val="21"/>
          <w:szCs w:val="21"/>
          <w:highlight w:val="none"/>
          <w:lang w:eastAsia="zh-CN"/>
        </w:rPr>
        <w:t>稿、</w:t>
      </w:r>
      <w:r>
        <w:rPr>
          <w:rFonts w:hint="eastAsia" w:ascii="黑体" w:hAnsi="黑体" w:eastAsia="黑体" w:cs="黑体"/>
          <w:kern w:val="2"/>
          <w:sz w:val="21"/>
          <w:szCs w:val="21"/>
          <w:highlight w:val="none"/>
          <w:lang w:val="en-US" w:eastAsia="zh-CN"/>
        </w:rPr>
        <w:t>完善</w:t>
      </w:r>
      <w:r>
        <w:rPr>
          <w:rFonts w:hint="eastAsia" w:ascii="黑体" w:hAnsi="黑体" w:eastAsia="黑体" w:cs="黑体"/>
          <w:kern w:val="2"/>
          <w:sz w:val="21"/>
          <w:szCs w:val="21"/>
          <w:highlight w:val="none"/>
          <w:lang w:eastAsia="zh-CN"/>
        </w:rPr>
        <w:t>编制说明</w:t>
      </w:r>
    </w:p>
    <w:p>
      <w:pPr>
        <w:spacing w:line="360" w:lineRule="auto"/>
        <w:ind w:firstLine="420" w:firstLineChars="200"/>
        <w:jc w:val="both"/>
        <w:rPr>
          <w:rFonts w:hint="eastAsia" w:ascii="Times New Roman" w:hAnsi="Times New Roman" w:eastAsia="宋体" w:cs="Times New Roman"/>
          <w:kern w:val="2"/>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2022年12月17日，中华环保联合会水环境治理专业委员会组织召开</w:t>
      </w:r>
      <w:r>
        <w:rPr>
          <w:rFonts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eastAsia="zh-CN"/>
        </w:rPr>
        <w:t>燃煤锅炉脱硫废水烟气余热浓缩干燥技术指南（</w:t>
      </w:r>
      <w:r>
        <w:rPr>
          <w:rFonts w:hint="eastAsia" w:ascii="Times New Roman" w:hAnsi="Times New Roman" w:eastAsia="宋体" w:cs="Times New Roman"/>
          <w:kern w:val="2"/>
          <w:sz w:val="21"/>
          <w:szCs w:val="21"/>
          <w:lang w:val="en-US" w:eastAsia="zh-CN"/>
        </w:rPr>
        <w:t>送审稿）</w:t>
      </w:r>
      <w:r>
        <w:rPr>
          <w:rFonts w:hint="eastAsia"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val="en-US" w:eastAsia="zh-CN"/>
        </w:rPr>
        <w:t>审查会</w:t>
      </w:r>
      <w:r>
        <w:rPr>
          <w:rFonts w:hint="eastAsia" w:ascii="Times New Roman" w:hAnsi="Times New Roman" w:eastAsia="宋体" w:cs="Times New Roman"/>
          <w:kern w:val="2"/>
          <w:sz w:val="21"/>
          <w:szCs w:val="21"/>
          <w:highlight w:val="none"/>
          <w:lang w:eastAsia="zh-CN"/>
        </w:rPr>
        <w:t>，</w:t>
      </w:r>
      <w:r>
        <w:rPr>
          <w:rFonts w:hint="eastAsia" w:ascii="Times New Roman" w:hAnsi="Times New Roman" w:eastAsia="宋体" w:cs="Times New Roman"/>
          <w:kern w:val="2"/>
          <w:sz w:val="21"/>
          <w:szCs w:val="21"/>
          <w:highlight w:val="none"/>
          <w:lang w:val="en-US" w:eastAsia="zh-CN"/>
        </w:rPr>
        <w:t>编制单位对征求意见汇总情况进行相应汇报，七位行业专家对送审稿逐条审查并提出修改意见，专家组一致同意，修改后形成</w:t>
      </w:r>
      <w:r>
        <w:rPr>
          <w:rFonts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eastAsia="zh-CN"/>
        </w:rPr>
        <w:t>燃煤锅炉脱硫废水烟气余热浓缩干燥技术指南（</w:t>
      </w:r>
      <w:r>
        <w:rPr>
          <w:rFonts w:hint="eastAsia" w:ascii="Times New Roman" w:hAnsi="Times New Roman" w:eastAsia="宋体" w:cs="Times New Roman"/>
          <w:kern w:val="2"/>
          <w:sz w:val="21"/>
          <w:szCs w:val="21"/>
          <w:lang w:val="en-US" w:eastAsia="zh-CN"/>
        </w:rPr>
        <w:t>报批稿）</w:t>
      </w:r>
      <w:r>
        <w:rPr>
          <w:rFonts w:hint="eastAsia"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highlight w:val="none"/>
          <w:lang w:val="en-US" w:eastAsia="zh-CN"/>
        </w:rPr>
        <w:t>报送中华环保联合会秘书处发布。</w:t>
      </w:r>
    </w:p>
    <w:p>
      <w:pPr>
        <w:spacing w:line="360" w:lineRule="auto"/>
        <w:ind w:firstLine="420" w:firstLineChars="200"/>
        <w:jc w:val="both"/>
        <w:rPr>
          <w:lang w:eastAsia="zh-CN"/>
        </w:rPr>
      </w:pPr>
      <w:r>
        <w:rPr>
          <w:rFonts w:hint="eastAsia" w:ascii="Times New Roman" w:hAnsi="Times New Roman" w:eastAsia="宋体" w:cs="Times New Roman"/>
          <w:kern w:val="2"/>
          <w:sz w:val="21"/>
          <w:szCs w:val="21"/>
          <w:highlight w:val="none"/>
          <w:lang w:val="en-US" w:eastAsia="zh-CN"/>
        </w:rPr>
        <w:t>2022年12月26日，</w:t>
      </w:r>
      <w:r>
        <w:rPr>
          <w:rFonts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eastAsia="zh-CN"/>
        </w:rPr>
        <w:t>燃煤锅炉脱硫废水烟气余热浓缩干燥技术指南（</w:t>
      </w:r>
      <w:r>
        <w:rPr>
          <w:rFonts w:hint="eastAsia" w:ascii="Times New Roman" w:hAnsi="Times New Roman" w:eastAsia="宋体" w:cs="Times New Roman"/>
          <w:kern w:val="2"/>
          <w:sz w:val="21"/>
          <w:szCs w:val="21"/>
          <w:lang w:val="en-US" w:eastAsia="zh-CN"/>
        </w:rPr>
        <w:t>报批稿）</w:t>
      </w:r>
      <w:r>
        <w:rPr>
          <w:rFonts w:hint="eastAsia"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val="en-US" w:eastAsia="zh-CN"/>
        </w:rPr>
        <w:t>经专家组复审后，报送中华环保联合会秘书处。</w:t>
      </w:r>
    </w:p>
    <w:p>
      <w:pPr>
        <w:spacing w:line="360" w:lineRule="auto"/>
        <w:rPr>
          <w:rFonts w:ascii="黑体" w:hAnsi="黑体" w:eastAsia="黑体" w:cs="黑体"/>
          <w:sz w:val="21"/>
          <w:szCs w:val="21"/>
          <w:lang w:eastAsia="zh-CN"/>
        </w:rPr>
      </w:pPr>
      <w:r>
        <w:rPr>
          <w:rFonts w:hint="eastAsia" w:ascii="黑体" w:hAnsi="黑体" w:eastAsia="黑体" w:cs="黑体"/>
          <w:sz w:val="21"/>
          <w:szCs w:val="21"/>
          <w:lang w:eastAsia="zh-CN"/>
        </w:rPr>
        <w:t>2 标准编制必要性、原则和技术路</w:t>
      </w:r>
      <w:bookmarkStart w:id="17" w:name="_GoBack"/>
      <w:bookmarkEnd w:id="17"/>
      <w:r>
        <w:rPr>
          <w:rFonts w:hint="eastAsia" w:ascii="黑体" w:hAnsi="黑体" w:eastAsia="黑体" w:cs="黑体"/>
          <w:sz w:val="21"/>
          <w:szCs w:val="21"/>
          <w:lang w:eastAsia="zh-CN"/>
        </w:rPr>
        <w:t>线及主要内容</w:t>
      </w:r>
      <w:bookmarkEnd w:id="7"/>
      <w:bookmarkStart w:id="8" w:name="_Toc95852620"/>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1"/>
        <w:rPr>
          <w:rFonts w:hint="eastAsia" w:ascii="黑体" w:hAnsi="黑体" w:eastAsia="黑体" w:cs="黑体"/>
          <w:sz w:val="21"/>
          <w:szCs w:val="21"/>
          <w:lang w:eastAsia="zh-CN"/>
        </w:rPr>
      </w:pPr>
      <w:r>
        <w:rPr>
          <w:rFonts w:hint="eastAsia" w:ascii="黑体" w:hAnsi="黑体" w:eastAsia="黑体" w:cs="黑体"/>
          <w:sz w:val="21"/>
          <w:szCs w:val="21"/>
          <w:lang w:eastAsia="zh-CN"/>
        </w:rPr>
        <w:t>2.1 标准编制的必要性</w:t>
      </w:r>
      <w:bookmarkEnd w:id="8"/>
    </w:p>
    <w:p>
      <w:pPr>
        <w:spacing w:line="360" w:lineRule="auto"/>
        <w:ind w:firstLine="420" w:firstLineChars="200"/>
        <w:jc w:val="both"/>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随着我国经济社会由高速度发展向高质量发展转变，党和国家越来越重视环境保护工作。国务院于2015年4月2日下发了《水污染防治行动计划》(国发〔2015〕17号)（以下简称《水十条》）。《水十条》指出</w:t>
      </w:r>
      <w:r>
        <w:rPr>
          <w:rFonts w:hint="eastAsia" w:ascii="Times New Roman" w:hAnsi="Times New Roman" w:eastAsia="宋体" w:cs="Times New Roman"/>
          <w:kern w:val="2"/>
          <w:sz w:val="21"/>
          <w:szCs w:val="21"/>
          <w:lang w:val="en-US" w:eastAsia="zh-CN"/>
        </w:rPr>
        <w:t>了</w:t>
      </w:r>
      <w:r>
        <w:rPr>
          <w:rFonts w:hint="eastAsia" w:ascii="Times New Roman" w:hAnsi="Times New Roman" w:eastAsia="宋体" w:cs="Times New Roman"/>
          <w:kern w:val="2"/>
          <w:sz w:val="21"/>
          <w:szCs w:val="21"/>
          <w:lang w:eastAsia="zh-CN"/>
        </w:rPr>
        <w:t>我国水资源安全的严重形势：当前，我国一些地区水环境质量差、水生态受损重、环境隐患多等问题十分突出，影响和损害群众健康，不利于经济社会持续发展，</w:t>
      </w:r>
      <w:r>
        <w:rPr>
          <w:rFonts w:hint="eastAsia" w:ascii="Times New Roman" w:hAnsi="Times New Roman" w:eastAsia="宋体" w:cs="Times New Roman"/>
          <w:kern w:val="2"/>
          <w:sz w:val="21"/>
          <w:szCs w:val="21"/>
          <w:lang w:val="en-US" w:eastAsia="zh-CN"/>
        </w:rPr>
        <w:t>而</w:t>
      </w:r>
      <w:r>
        <w:rPr>
          <w:rFonts w:hint="eastAsia" w:ascii="Times New Roman" w:hAnsi="Times New Roman" w:eastAsia="宋体" w:cs="Times New Roman"/>
          <w:kern w:val="2"/>
          <w:sz w:val="21"/>
          <w:szCs w:val="21"/>
          <w:lang w:eastAsia="zh-CN"/>
        </w:rPr>
        <w:t>水环境保护事关人民群众切身利益，事关全面建成小康社会，事关实现中华民族伟大复兴中国梦。2017年10月和12月，党的十九大和中央经济工作会议都将污染防治列为</w:t>
      </w:r>
      <w:r>
        <w:rPr>
          <w:rFonts w:hint="eastAsia" w:ascii="Times New Roman" w:hAnsi="Times New Roman" w:eastAsia="宋体" w:cs="Times New Roman"/>
          <w:kern w:val="2"/>
          <w:sz w:val="21"/>
          <w:szCs w:val="21"/>
          <w:lang w:val="en-US" w:eastAsia="zh-CN"/>
        </w:rPr>
        <w:t>了往</w:t>
      </w:r>
      <w:r>
        <w:rPr>
          <w:rFonts w:hint="eastAsia" w:ascii="Times New Roman" w:hAnsi="Times New Roman" w:eastAsia="宋体" w:cs="Times New Roman"/>
          <w:kern w:val="2"/>
          <w:sz w:val="21"/>
          <w:szCs w:val="21"/>
          <w:lang w:eastAsia="zh-CN"/>
        </w:rPr>
        <w:t>后3年三大攻坚战之一。2018年3月，李克强总理在《政府工作报告》中明确提出“提高污染排放标准，实行限期达标”、“深入推进水、土壤污染防治”</w:t>
      </w:r>
      <w:r>
        <w:rPr>
          <w:rFonts w:hint="eastAsia" w:ascii="Times New Roman" w:hAnsi="Times New Roman" w:eastAsia="宋体" w:cs="Times New Roman"/>
          <w:kern w:val="2"/>
          <w:sz w:val="21"/>
          <w:szCs w:val="21"/>
          <w:lang w:val="en-US" w:eastAsia="zh-CN"/>
        </w:rPr>
        <w:t>和</w:t>
      </w:r>
      <w:r>
        <w:rPr>
          <w:rFonts w:hint="eastAsia" w:ascii="Times New Roman" w:hAnsi="Times New Roman" w:eastAsia="宋体" w:cs="Times New Roman"/>
          <w:kern w:val="2"/>
          <w:sz w:val="21"/>
          <w:szCs w:val="21"/>
          <w:lang w:eastAsia="zh-CN"/>
        </w:rPr>
        <w:t>“加大污水处理设施建设力度，完善收费政策”。在这种背景下，</w:t>
      </w:r>
      <w:r>
        <w:rPr>
          <w:rFonts w:hint="eastAsia" w:ascii="Times New Roman" w:hAnsi="Times New Roman" w:eastAsia="宋体" w:cs="Times New Roman"/>
          <w:kern w:val="2"/>
          <w:sz w:val="21"/>
          <w:szCs w:val="21"/>
          <w:lang w:val="en-US" w:eastAsia="zh-CN"/>
        </w:rPr>
        <w:t>各行业</w:t>
      </w:r>
      <w:r>
        <w:rPr>
          <w:rFonts w:hint="eastAsia" w:ascii="Times New Roman" w:hAnsi="Times New Roman" w:eastAsia="宋体" w:cs="Times New Roman"/>
          <w:kern w:val="2"/>
          <w:sz w:val="21"/>
          <w:szCs w:val="21"/>
          <w:lang w:eastAsia="zh-CN"/>
        </w:rPr>
        <w:t>也加</w:t>
      </w:r>
      <w:r>
        <w:rPr>
          <w:rFonts w:hint="eastAsia" w:ascii="Times New Roman" w:hAnsi="Times New Roman" w:eastAsia="宋体" w:cs="Times New Roman"/>
          <w:kern w:val="2"/>
          <w:sz w:val="21"/>
          <w:szCs w:val="21"/>
          <w:lang w:val="en-US" w:eastAsia="zh-CN"/>
        </w:rPr>
        <w:t>大</w:t>
      </w:r>
      <w:r>
        <w:rPr>
          <w:rFonts w:hint="eastAsia" w:ascii="Times New Roman" w:hAnsi="Times New Roman" w:eastAsia="宋体" w:cs="Times New Roman"/>
          <w:kern w:val="2"/>
          <w:sz w:val="21"/>
          <w:szCs w:val="21"/>
          <w:lang w:eastAsia="zh-CN"/>
        </w:rPr>
        <w:t>了废水治理力度，要求各地</w:t>
      </w:r>
      <w:r>
        <w:rPr>
          <w:rFonts w:hint="eastAsia" w:ascii="Times New Roman" w:hAnsi="Times New Roman" w:eastAsia="宋体" w:cs="Times New Roman"/>
          <w:kern w:val="2"/>
          <w:sz w:val="21"/>
          <w:szCs w:val="21"/>
          <w:lang w:val="en-US" w:eastAsia="zh-CN"/>
        </w:rPr>
        <w:t>企业</w:t>
      </w:r>
      <w:r>
        <w:rPr>
          <w:rFonts w:hint="eastAsia" w:ascii="Times New Roman" w:hAnsi="Times New Roman" w:eastAsia="宋体" w:cs="Times New Roman"/>
          <w:kern w:val="2"/>
          <w:sz w:val="21"/>
          <w:szCs w:val="21"/>
          <w:lang w:eastAsia="zh-CN"/>
        </w:rPr>
        <w:t>积极开展废水治理工作，</w:t>
      </w:r>
      <w:r>
        <w:rPr>
          <w:rFonts w:hint="eastAsia" w:ascii="Times New Roman" w:hAnsi="Times New Roman" w:eastAsia="宋体" w:cs="Times New Roman"/>
          <w:kern w:val="2"/>
          <w:sz w:val="21"/>
          <w:szCs w:val="21"/>
          <w:lang w:val="en-US" w:eastAsia="zh-CN"/>
        </w:rPr>
        <w:t>严格控制废水外排至自然水体，要求各企业尽快实现废水零排放</w:t>
      </w:r>
      <w:r>
        <w:rPr>
          <w:rFonts w:hint="eastAsia" w:ascii="Times New Roman" w:hAnsi="Times New Roman" w:eastAsia="宋体" w:cs="Times New Roman"/>
          <w:kern w:val="2"/>
          <w:sz w:val="21"/>
          <w:szCs w:val="21"/>
          <w:lang w:eastAsia="zh-CN"/>
        </w:rPr>
        <w:t>。</w:t>
      </w:r>
    </w:p>
    <w:p>
      <w:pPr>
        <w:spacing w:line="360" w:lineRule="auto"/>
        <w:ind w:firstLine="420" w:firstLineChars="200"/>
        <w:jc w:val="both"/>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石灰石/石灰-石膏湿法脱硫工艺为大型燃煤锅炉烟气治理的主流技术，其产生的脱硫废水是企业内最难处理的废水，也是全厂水资源梯级利用的最末段，解决脱硫废水的零排放问题，就能最终解决全厂废水的零排放问题。</w:t>
      </w:r>
      <w:r>
        <w:rPr>
          <w:rFonts w:hint="eastAsia" w:ascii="Times New Roman" w:hAnsi="Times New Roman" w:eastAsia="宋体" w:cs="Times New Roman"/>
          <w:kern w:val="2"/>
          <w:sz w:val="21"/>
          <w:szCs w:val="21"/>
          <w:lang w:eastAsia="zh-CN"/>
        </w:rPr>
        <w:t>通过</w:t>
      </w:r>
      <w:r>
        <w:rPr>
          <w:rFonts w:hint="eastAsia" w:ascii="Times New Roman" w:hAnsi="Times New Roman" w:eastAsia="宋体" w:cs="Times New Roman"/>
          <w:kern w:val="2"/>
          <w:sz w:val="21"/>
          <w:szCs w:val="21"/>
          <w:lang w:val="en-US" w:eastAsia="zh-CN"/>
        </w:rPr>
        <w:t>制</w:t>
      </w:r>
      <w:r>
        <w:rPr>
          <w:rFonts w:hint="eastAsia" w:ascii="Times New Roman" w:hAnsi="Times New Roman" w:eastAsia="宋体" w:cs="Times New Roman"/>
          <w:kern w:val="2"/>
          <w:sz w:val="21"/>
          <w:szCs w:val="21"/>
          <w:lang w:eastAsia="zh-CN"/>
        </w:rPr>
        <w:t>订《燃煤锅炉脱硫废水烟气余热浓缩干燥技术指南》，</w:t>
      </w:r>
      <w:r>
        <w:rPr>
          <w:rFonts w:hint="eastAsia" w:ascii="Times New Roman" w:hAnsi="Times New Roman" w:eastAsia="宋体" w:cs="Times New Roman"/>
          <w:kern w:val="2"/>
          <w:sz w:val="21"/>
          <w:szCs w:val="21"/>
          <w:lang w:val="en-US" w:eastAsia="zh-CN"/>
        </w:rPr>
        <w:t>提出石灰石/石灰-石膏湿法脱硫废水烟气余热浓缩及浆液干燥固化工程技术标准，并针对工程建设提出指导性建议，以实现燃煤锅炉脱硫废水零排放项目的实施。</w:t>
      </w:r>
    </w:p>
    <w:p>
      <w:pPr>
        <w:spacing w:line="360" w:lineRule="auto"/>
        <w:ind w:firstLine="420" w:firstLineChars="200"/>
        <w:jc w:val="both"/>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val="en-US" w:eastAsia="zh-CN"/>
        </w:rPr>
        <w:t>本文件作为燃煤锅炉脱硫废水烟气余热浓缩干燥技术指南，可指导工程设计，确保项目稳定运行，对环境效益和社会效益均具有重大意义。</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1"/>
        <w:rPr>
          <w:rFonts w:hint="eastAsia" w:ascii="黑体" w:hAnsi="黑体" w:eastAsia="黑体" w:cs="黑体"/>
          <w:sz w:val="21"/>
          <w:szCs w:val="21"/>
          <w:lang w:eastAsia="zh-CN"/>
        </w:rPr>
      </w:pPr>
      <w:bookmarkStart w:id="9" w:name="_Toc95852621"/>
      <w:r>
        <w:rPr>
          <w:rFonts w:hint="eastAsia" w:ascii="黑体" w:hAnsi="黑体" w:eastAsia="黑体" w:cs="黑体"/>
          <w:sz w:val="21"/>
          <w:szCs w:val="21"/>
          <w:lang w:eastAsia="zh-CN"/>
        </w:rPr>
        <w:t>2.2 标准制订的基本原则和技术路线</w:t>
      </w:r>
      <w:bookmarkEnd w:id="9"/>
    </w:p>
    <w:p>
      <w:pPr>
        <w:spacing w:line="360" w:lineRule="auto"/>
        <w:ind w:firstLine="420" w:firstLineChars="200"/>
        <w:jc w:val="both"/>
        <w:rPr>
          <w:rFonts w:ascii="黑体" w:hAnsi="黑体" w:eastAsia="黑体" w:cs="黑体"/>
          <w:sz w:val="21"/>
          <w:szCs w:val="21"/>
          <w:lang w:eastAsia="zh-CN"/>
        </w:rPr>
      </w:pPr>
      <w:r>
        <w:rPr>
          <w:rFonts w:hint="eastAsia" w:ascii="黑体" w:hAnsi="黑体" w:eastAsia="黑体" w:cs="黑体"/>
          <w:sz w:val="21"/>
          <w:szCs w:val="21"/>
          <w:lang w:eastAsia="zh-CN"/>
        </w:rPr>
        <w:t>2.2.1科学性原则</w:t>
      </w:r>
    </w:p>
    <w:p>
      <w:pPr>
        <w:spacing w:line="360" w:lineRule="auto"/>
        <w:ind w:firstLine="420" w:firstLineChars="200"/>
        <w:jc w:val="both"/>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本指南的编制遵循科学性原则</w:t>
      </w:r>
      <w:r>
        <w:rPr>
          <w:rFonts w:hint="eastAsia" w:ascii="Times New Roman" w:hAnsi="Times New Roman" w:eastAsia="宋体" w:cs="Times New Roman"/>
          <w:kern w:val="2"/>
          <w:sz w:val="21"/>
          <w:szCs w:val="21"/>
          <w:lang w:val="en-US" w:eastAsia="zh-CN"/>
        </w:rPr>
        <w:t>，对燃煤锅炉脱硫废水烟气余热浓缩干燥技术方案的设计详细全面、层次清晰、结构合理，对该技术的工艺流程、主体设备、电气控制、建筑结构等方面进行了指导，相关内容是各单位多年研究和实践经验总结，在充分征询行业意见的基础上完成标准制订，具有较强的科学性和指导性</w:t>
      </w:r>
      <w:r>
        <w:rPr>
          <w:rFonts w:hint="eastAsia" w:ascii="Times New Roman" w:hAnsi="Times New Roman" w:eastAsia="宋体" w:cs="Times New Roman"/>
          <w:kern w:val="2"/>
          <w:sz w:val="21"/>
          <w:szCs w:val="21"/>
          <w:lang w:eastAsia="zh-CN"/>
        </w:rPr>
        <w:t>。</w:t>
      </w:r>
    </w:p>
    <w:p>
      <w:pPr>
        <w:spacing w:line="360" w:lineRule="auto"/>
        <w:ind w:firstLine="420" w:firstLineChars="200"/>
        <w:jc w:val="both"/>
        <w:rPr>
          <w:rFonts w:ascii="黑体" w:hAnsi="黑体" w:eastAsia="黑体" w:cs="黑体"/>
          <w:sz w:val="21"/>
          <w:szCs w:val="21"/>
          <w:lang w:eastAsia="zh-CN"/>
        </w:rPr>
      </w:pPr>
      <w:r>
        <w:rPr>
          <w:rFonts w:hint="eastAsia" w:ascii="黑体" w:hAnsi="黑体" w:eastAsia="黑体" w:cs="黑体"/>
          <w:sz w:val="21"/>
          <w:szCs w:val="21"/>
          <w:lang w:eastAsia="zh-CN"/>
        </w:rPr>
        <w:t>2.2.2可操作性、先进性原则</w:t>
      </w:r>
    </w:p>
    <w:p>
      <w:pPr>
        <w:spacing w:line="360" w:lineRule="auto"/>
        <w:ind w:firstLine="420" w:firstLineChars="200"/>
        <w:jc w:val="both"/>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本指南</w:t>
      </w:r>
      <w:r>
        <w:rPr>
          <w:rFonts w:hint="eastAsia" w:ascii="Times New Roman" w:hAnsi="Times New Roman" w:eastAsia="宋体" w:cs="Times New Roman"/>
          <w:kern w:val="2"/>
          <w:sz w:val="21"/>
          <w:szCs w:val="21"/>
          <w:lang w:val="en-US" w:eastAsia="zh-CN"/>
        </w:rPr>
        <w:t>的</w:t>
      </w:r>
      <w:r>
        <w:rPr>
          <w:rFonts w:hint="eastAsia" w:ascii="Times New Roman" w:hAnsi="Times New Roman" w:eastAsia="宋体" w:cs="Times New Roman"/>
          <w:kern w:val="2"/>
          <w:sz w:val="21"/>
          <w:szCs w:val="21"/>
          <w:lang w:eastAsia="zh-CN"/>
        </w:rPr>
        <w:t>编制</w:t>
      </w:r>
      <w:r>
        <w:rPr>
          <w:rFonts w:hint="eastAsia" w:ascii="Times New Roman" w:hAnsi="Times New Roman" w:eastAsia="宋体" w:cs="Times New Roman"/>
          <w:kern w:val="2"/>
          <w:sz w:val="21"/>
          <w:szCs w:val="21"/>
          <w:lang w:val="en-US" w:eastAsia="zh-CN"/>
        </w:rPr>
        <w:t>在充分调研和广泛征求意见的基础上，结合燃煤锅炉脱硫废水治理现状，规范燃煤锅炉脱硫废水烟气余热浓缩干燥工程的设计、建设、运行维护过程，确保系统安全稳定运行。结合各单位在燃煤锅炉脱硫废水烟气余热浓缩干燥工程的建设、调试经验，重点对工程的设计、运行进行指导，指南内容可操作性强，对燃煤锅炉脱硫废水烟气余热浓缩干燥工程的建设和运维具有较强的指导作用</w:t>
      </w:r>
      <w:r>
        <w:rPr>
          <w:rFonts w:hint="eastAsia" w:ascii="Times New Roman" w:hAnsi="Times New Roman" w:eastAsia="宋体" w:cs="Times New Roman"/>
          <w:kern w:val="2"/>
          <w:sz w:val="21"/>
          <w:szCs w:val="21"/>
          <w:lang w:eastAsia="zh-CN"/>
        </w:rPr>
        <w:t>。</w:t>
      </w:r>
    </w:p>
    <w:p>
      <w:pPr>
        <w:spacing w:line="360" w:lineRule="auto"/>
        <w:ind w:firstLine="420" w:firstLineChars="200"/>
        <w:jc w:val="both"/>
        <w:rPr>
          <w:rFonts w:ascii="黑体" w:hAnsi="黑体" w:eastAsia="黑体" w:cs="黑体"/>
          <w:sz w:val="21"/>
          <w:szCs w:val="21"/>
          <w:lang w:eastAsia="zh-CN"/>
        </w:rPr>
      </w:pPr>
      <w:r>
        <w:rPr>
          <w:rFonts w:hint="eastAsia" w:ascii="黑体" w:hAnsi="黑体" w:eastAsia="黑体" w:cs="黑体"/>
          <w:sz w:val="21"/>
          <w:szCs w:val="21"/>
          <w:lang w:eastAsia="zh-CN"/>
        </w:rPr>
        <w:t>2.2.3标准制订的技术路线（图1）</w:t>
      </w:r>
    </w:p>
    <w:p>
      <w:pPr>
        <w:spacing w:line="360" w:lineRule="auto"/>
        <w:ind w:firstLine="420" w:firstLineChars="200"/>
        <w:jc w:val="both"/>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drawing>
          <wp:inline distT="0" distB="0" distL="0" distR="0">
            <wp:extent cx="4742815" cy="2688590"/>
            <wp:effectExtent l="0" t="0" r="698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42815" cy="2688590"/>
                    </a:xfrm>
                    <a:prstGeom prst="rect">
                      <a:avLst/>
                    </a:prstGeom>
                    <a:noFill/>
                  </pic:spPr>
                </pic:pic>
              </a:graphicData>
            </a:graphic>
          </wp:inline>
        </w:drawing>
      </w:r>
    </w:p>
    <w:p>
      <w:pPr>
        <w:spacing w:line="360" w:lineRule="auto"/>
        <w:jc w:val="center"/>
        <w:rPr>
          <w:rFonts w:ascii="Times New Roman" w:hAnsi="Times New Roman" w:eastAsia="宋体" w:cs="Times New Roman"/>
          <w:kern w:val="2"/>
          <w:sz w:val="21"/>
          <w:szCs w:val="21"/>
          <w:lang w:eastAsia="zh-CN"/>
        </w:rPr>
      </w:pPr>
      <w:r>
        <w:rPr>
          <w:rFonts w:hint="eastAsia" w:ascii="宋体" w:hAnsi="宋体" w:eastAsia="宋体" w:cs="宋体"/>
          <w:kern w:val="2"/>
          <w:sz w:val="18"/>
          <w:szCs w:val="18"/>
          <w:lang w:eastAsia="zh-CN"/>
        </w:rPr>
        <w:t>图1技术路线图</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1"/>
        <w:rPr>
          <w:rFonts w:hint="eastAsia" w:ascii="黑体" w:hAnsi="黑体" w:eastAsia="黑体" w:cs="黑体"/>
          <w:sz w:val="21"/>
          <w:szCs w:val="21"/>
          <w:lang w:eastAsia="zh-CN"/>
        </w:rPr>
      </w:pPr>
      <w:bookmarkStart w:id="10" w:name="_Toc95852622"/>
      <w:r>
        <w:rPr>
          <w:rFonts w:hint="eastAsia" w:ascii="黑体" w:hAnsi="黑体" w:eastAsia="黑体" w:cs="黑体"/>
          <w:sz w:val="21"/>
          <w:szCs w:val="21"/>
          <w:lang w:eastAsia="zh-CN"/>
        </w:rPr>
        <w:t>2.3 标准主要编制内容</w:t>
      </w:r>
      <w:bookmarkEnd w:id="10"/>
      <w:r>
        <w:rPr>
          <w:rFonts w:hint="eastAsia" w:ascii="黑体" w:hAnsi="黑体" w:eastAsia="黑体" w:cs="黑体"/>
          <w:sz w:val="21"/>
          <w:szCs w:val="21"/>
          <w:lang w:eastAsia="zh-CN"/>
        </w:rPr>
        <w:t>和关键条款说明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关键条款的说明如下：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5.3.3 干燥系统宜单元制布置。惰性载体流化床宜布置在原送风机及锅炉钢架。惰性载体流化床地面布置时，宜靠近除尘器。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说明:当干燥系统采用惰性载体流化床时，可优先考虑布置在原送风机及锅炉钢架，方便风道布置，需考虑检修冲洗时的排水方案。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5.3.4 采用旋转喷雾干燥时，宜靠近锅炉空气预热器， 采用独立支架布置。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说明：当干燥系统采用旋转喷雾干燥方案时，由于干燥设备较大，建议地面布置且采用独立支架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5.4.2.3浓缩塔浆池为防止颗粒沉积，宜设置脉冲悬浮装置，采用水力搅拌方式；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说明：浓缩塔宜采用整体结构，落地布置，因常规钙法脱硫废水处理水量不大，浓缩塔直径偏小，浆池无法设置侧进式搅拌器，故采用水力搅拌方式，防止浆池内颗粒物沉积。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5.4.2.5 浓缩塔顶部应设置除雾器，宜采用屋脊式除雾器，除雾器出口烟气液滴携带量应小于150mg/Nm3(湿基，6%含氧量)。除雾器应设置冲洗水系统，水源宜采用脱硫废水，同时接入脱硫工艺水作为备用水源。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说明：经浓缩塔喷淋后的烟气携带液滴过多，容易引起烟道腐蚀现象，需在浓缩塔出口设置除雾器；经过浓缩塔顶部除雾器后的烟气，将进入脱硫吸收塔进行烟气脱硫处理，故不需将烟气中液滴处理太低，根据现场运行经验并考虑除雾器设备采购成本，将除雾器出口烟气液滴携带量确定小于150mg/Nm3(湿基，6%含氧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5.4.2.7 泵机封水不应进入浓缩系统，应直接排入废水回收系统。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说明：浓缩系统是将脱硫废水进行浓缩，故浓缩系统内均为含盐量较高的浓缩浆液，为防止浆液被稀释，泵的机封水不应排至浓缩系统，建议排至废水回收系统。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5.6.2 调质系统宜为多台机组公用；调质用药品储存量不少于3天需要量。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说明：当药品由本地供应时，调质用药品储存了不少于3天；当采购药品受到包装、供应、运输等条件时，可适当增加药品储存量，保证系统稳定运行。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 xml:space="preserve">5.6.4 </w:t>
      </w:r>
      <w:r>
        <w:rPr>
          <w:rFonts w:hint="eastAsia" w:ascii="Times New Roman" w:cs="Times New Roman"/>
          <w:sz w:val="21"/>
          <w:szCs w:val="21"/>
        </w:rPr>
        <w:t>当调质后的浓缩浆液固含量不满足干燥系统要求时，可设置澄清池，底部污泥输送至板框压滤机，同时预留一支管道均匀喷洒至脱硫真空皮带机适当位置</w:t>
      </w:r>
      <w:r>
        <w:rPr>
          <w:rFonts w:hint="eastAsia" w:ascii="宋体" w:hAnsi="宋体" w:eastAsia="宋体" w:cs="宋体"/>
          <w:kern w:val="2"/>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说明：当板框压滤机故障时，可将污泥送至脱硫系统真空皮带机顶部，均匀喷洒至已成形的石膏表面，与石膏混合后综合利用。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 xml:space="preserve">5.7.1 </w:t>
      </w:r>
      <w:r>
        <w:rPr>
          <w:rFonts w:hint="eastAsia" w:ascii="Times New Roman" w:cs="Times New Roman"/>
          <w:sz w:val="21"/>
          <w:szCs w:val="21"/>
        </w:rPr>
        <w:t>干燥系统热源可采用热二次风或热烟气，浓缩后的浆液不宜采用烟道直喷干燥方式，宜采用旁路烟气/热风干燥方式。旁路烟气/热风干燥方式可采用旋转喷雾或惰性载体流化床装置，干燥设备应根据干燥技术进行选型设计</w:t>
      </w:r>
      <w:r>
        <w:rPr>
          <w:rFonts w:hint="eastAsia" w:ascii="宋体" w:hAnsi="宋体" w:eastAsia="宋体" w:cs="宋体"/>
          <w:kern w:val="2"/>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说明：浓缩后的浆液含盐量较高，易造成喷嘴堵塞，若采用烟道直喷干燥技术，喷嘴堵塞后雾化效果不好，烟气中残留浆液，容易造成烟道腐蚀及除尘器堵塞，影响锅炉主机正常运行且发生故障需锅炉停机后检修处理；采用二次风或热烟气旁路干燥方式，干燥系统设备故障可随时检修处理，不影响主机正常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 xml:space="preserve">5.9.1.1 </w:t>
      </w:r>
      <w:r>
        <w:rPr>
          <w:rFonts w:hint="eastAsia" w:ascii="Times New Roman" w:cs="Times New Roman"/>
          <w:sz w:val="21"/>
          <w:szCs w:val="21"/>
        </w:rPr>
        <w:t>脱硫废水烟气余热浓缩干燥工程工艺用水一般包括：浓缩系统工艺水、浆液管道冲洗水、辅助设备的冷却用水等。脱硫废水烟气余热浓缩干燥工程所需工艺用水应由脱硫工程提供，可直接由工艺水母管引接</w:t>
      </w:r>
      <w:r>
        <w:rPr>
          <w:rFonts w:hint="eastAsia" w:ascii="宋体" w:hAnsi="宋体" w:eastAsia="宋体" w:cs="宋体"/>
          <w:kern w:val="2"/>
          <w:sz w:val="21"/>
          <w:szCs w:val="21"/>
          <w:lang w:val="en-US" w:eastAsia="zh-CN"/>
        </w:rPr>
        <w:t>。</w:t>
      </w:r>
    </w:p>
    <w:p>
      <w:pPr>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说明：脱硫废水处理工程工艺用水，主要用于浓缩塔除雾器应急冲洗、干燥系统冲洗水及转动设备冷却水。正常运行状况，冷却水回水回收后综合利用；管道冲洗水采用预澄清后未浓缩的脱硫废水，防止工艺水进入脱硫废水处理系统，导致浓缩后的浆液被稀释。</w:t>
      </w:r>
    </w:p>
    <w:p>
      <w:pPr>
        <w:spacing w:line="480" w:lineRule="auto"/>
        <w:rPr>
          <w:rFonts w:ascii="黑体" w:hAnsi="黑体" w:eastAsia="黑体" w:cs="黑体"/>
          <w:sz w:val="21"/>
          <w:szCs w:val="21"/>
          <w:lang w:eastAsia="zh-CN"/>
        </w:rPr>
      </w:pPr>
      <w:bookmarkStart w:id="11" w:name="_Toc95852631"/>
      <w:r>
        <w:rPr>
          <w:rFonts w:hint="eastAsia" w:ascii="黑体" w:hAnsi="黑体" w:eastAsia="黑体" w:cs="黑体"/>
          <w:sz w:val="21"/>
          <w:szCs w:val="21"/>
          <w:lang w:eastAsia="zh-CN"/>
        </w:rPr>
        <w:t>3 标准涉及的相关知识产权说明</w:t>
      </w:r>
      <w:bookmarkEnd w:id="11"/>
    </w:p>
    <w:p>
      <w:pPr>
        <w:numPr>
          <w:ilvl w:val="0"/>
          <w:numId w:val="0"/>
        </w:numPr>
        <w:spacing w:line="360" w:lineRule="auto"/>
        <w:ind w:firstLine="412" w:firstLineChars="200"/>
        <w:jc w:val="both"/>
        <w:rPr>
          <w:rFonts w:hint="eastAsia" w:ascii="Times New Roman" w:hAnsi="Times New Roman" w:eastAsia="宋体" w:cs="Times New Roman"/>
          <w:spacing w:val="-2"/>
          <w:sz w:val="21"/>
          <w:szCs w:val="21"/>
          <w:lang w:val="en-US" w:eastAsia="zh-CN"/>
        </w:rPr>
      </w:pPr>
      <w:r>
        <w:rPr>
          <w:rFonts w:hint="eastAsia" w:ascii="Times New Roman" w:hAnsi="Times New Roman" w:eastAsia="宋体" w:cs="Times New Roman"/>
          <w:spacing w:val="-2"/>
          <w:sz w:val="21"/>
          <w:szCs w:val="21"/>
          <w:lang w:val="en-US" w:eastAsia="zh-CN"/>
        </w:rPr>
        <w:t>本指南虽涉及到部分专利内容，但主编单位、参编单位为不同专利的持有人，并承诺在本规范中共享专利内容，故知识产权不涉及侵权问题。</w:t>
      </w:r>
    </w:p>
    <w:p>
      <w:pPr>
        <w:numPr>
          <w:ilvl w:val="0"/>
          <w:numId w:val="0"/>
        </w:numPr>
        <w:spacing w:line="360" w:lineRule="auto"/>
        <w:ind w:firstLine="412" w:firstLineChars="200"/>
        <w:jc w:val="both"/>
        <w:rPr>
          <w:rFonts w:hint="default"/>
          <w:lang w:val="en-US" w:eastAsia="zh-CN"/>
        </w:rPr>
      </w:pPr>
      <w:r>
        <w:rPr>
          <w:rFonts w:hint="eastAsia" w:ascii="Times New Roman" w:hAnsi="Times New Roman" w:eastAsia="宋体" w:cs="Times New Roman"/>
          <w:spacing w:val="-2"/>
          <w:sz w:val="21"/>
          <w:szCs w:val="21"/>
          <w:lang w:val="en-US" w:eastAsia="zh-CN"/>
        </w:rPr>
        <w:t>本指南的某些内容可能直接或间接涉及专利及软件著作权，本规程的发布机构不承担识别这些专利及软件著作权的责任。</w:t>
      </w:r>
    </w:p>
    <w:p>
      <w:pPr>
        <w:spacing w:line="480" w:lineRule="auto"/>
        <w:rPr>
          <w:rFonts w:ascii="黑体" w:hAnsi="黑体" w:eastAsia="黑体" w:cs="黑体"/>
          <w:sz w:val="21"/>
          <w:szCs w:val="21"/>
          <w:lang w:eastAsia="zh-CN"/>
        </w:rPr>
      </w:pPr>
      <w:bookmarkStart w:id="12" w:name="_Toc95852632"/>
      <w:r>
        <w:rPr>
          <w:rFonts w:hint="eastAsia" w:ascii="黑体" w:hAnsi="黑体" w:eastAsia="黑体" w:cs="黑体"/>
          <w:sz w:val="21"/>
          <w:szCs w:val="21"/>
          <w:lang w:eastAsia="zh-CN"/>
        </w:rPr>
        <w:t>4 国内外相关标准及相关项目情况</w:t>
      </w:r>
      <w:bookmarkEnd w:id="12"/>
    </w:p>
    <w:p>
      <w:pPr>
        <w:autoSpaceDE w:val="0"/>
        <w:autoSpaceDN w:val="0"/>
        <w:adjustRightInd w:val="0"/>
        <w:spacing w:line="360" w:lineRule="auto"/>
        <w:ind w:firstLine="412" w:firstLineChars="200"/>
        <w:rPr>
          <w:rFonts w:hint="eastAsia" w:ascii="Times New Roman" w:hAnsi="Times New Roman" w:eastAsia="宋体" w:cs="Times New Roman"/>
          <w:spacing w:val="-2"/>
          <w:sz w:val="21"/>
          <w:szCs w:val="21"/>
          <w:lang w:eastAsia="zh-CN"/>
        </w:rPr>
      </w:pPr>
      <w:r>
        <w:rPr>
          <w:rFonts w:hint="default" w:ascii="Times New Roman" w:hAnsi="Times New Roman" w:eastAsia="宋体" w:cs="Times New Roman"/>
          <w:spacing w:val="-2"/>
          <w:sz w:val="21"/>
          <w:szCs w:val="21"/>
          <w:lang w:val="en-US" w:eastAsia="zh-CN"/>
        </w:rPr>
        <w:t>脱硫废水烟气余热浓缩及浆液干燥固化工艺作为一种较为先进的废水零排放处理技术，属于电力行业首创，该处理工艺在现行的国际、国家、行业、地方以及其他团体标准中属于空白。本项目总结工程设计及运行经验，提出工程设计技术规范，弥补该技术的相关标准空白。</w:t>
      </w:r>
    </w:p>
    <w:p>
      <w:pPr>
        <w:spacing w:line="480" w:lineRule="auto"/>
        <w:rPr>
          <w:rFonts w:ascii="黑体" w:hAnsi="黑体" w:eastAsia="黑体" w:cs="黑体"/>
          <w:sz w:val="21"/>
          <w:szCs w:val="21"/>
          <w:lang w:eastAsia="zh-CN"/>
        </w:rPr>
      </w:pPr>
      <w:bookmarkStart w:id="13" w:name="_bookmark1"/>
      <w:bookmarkEnd w:id="13"/>
      <w:bookmarkStart w:id="14" w:name="_bookmark2"/>
      <w:bookmarkEnd w:id="14"/>
      <w:bookmarkStart w:id="15" w:name="_Toc95852636"/>
      <w:r>
        <w:rPr>
          <w:rFonts w:hint="eastAsia" w:ascii="黑体" w:hAnsi="黑体" w:eastAsia="黑体" w:cs="黑体"/>
          <w:sz w:val="21"/>
          <w:szCs w:val="21"/>
          <w:lang w:eastAsia="zh-CN"/>
        </w:rPr>
        <w:t>5 重大意见分歧的处理经过和依据</w:t>
      </w:r>
      <w:bookmarkEnd w:id="15"/>
    </w:p>
    <w:p>
      <w:pPr>
        <w:spacing w:line="480" w:lineRule="auto"/>
        <w:rPr>
          <w:rFonts w:ascii="Times New Roman" w:hAnsi="Times New Roman" w:eastAsia="宋体" w:cs="Times New Roman"/>
          <w:sz w:val="21"/>
          <w:szCs w:val="21"/>
          <w:lang w:eastAsia="zh-CN"/>
        </w:rPr>
      </w:pPr>
      <w:bookmarkStart w:id="16" w:name="_Toc95852637"/>
      <w:r>
        <w:rPr>
          <w:rFonts w:hint="eastAsia" w:ascii="Times New Roman" w:hAnsi="Times New Roman" w:eastAsia="宋体" w:cs="Times New Roman"/>
          <w:sz w:val="21"/>
          <w:szCs w:val="21"/>
          <w:lang w:eastAsia="zh-CN"/>
        </w:rPr>
        <w:t>无。</w:t>
      </w:r>
    </w:p>
    <w:p>
      <w:pPr>
        <w:spacing w:line="480" w:lineRule="auto"/>
        <w:rPr>
          <w:rFonts w:ascii="黑体" w:hAnsi="黑体" w:eastAsia="黑体" w:cs="黑体"/>
          <w:sz w:val="21"/>
          <w:szCs w:val="21"/>
          <w:lang w:eastAsia="zh-CN"/>
        </w:rPr>
      </w:pPr>
      <w:r>
        <w:rPr>
          <w:rFonts w:hint="eastAsia" w:ascii="黑体" w:hAnsi="黑体" w:eastAsia="黑体" w:cs="黑体"/>
          <w:sz w:val="21"/>
          <w:szCs w:val="21"/>
          <w:lang w:eastAsia="zh-CN"/>
        </w:rPr>
        <w:t>6 其他应予说明的事项</w:t>
      </w:r>
      <w:bookmarkEnd w:id="16"/>
    </w:p>
    <w:p>
      <w:pPr>
        <w:pStyle w:val="42"/>
        <w:spacing w:line="360" w:lineRule="auto"/>
        <w:rPr>
          <w:rFonts w:eastAsia="宋体"/>
          <w:color w:val="auto"/>
          <w:spacing w:val="-2"/>
          <w:sz w:val="21"/>
          <w:szCs w:val="21"/>
        </w:rPr>
      </w:pPr>
      <w:r>
        <w:rPr>
          <w:rFonts w:hint="eastAsia" w:eastAsia="宋体"/>
          <w:color w:val="auto"/>
          <w:spacing w:val="-2"/>
          <w:sz w:val="21"/>
          <w:szCs w:val="21"/>
        </w:rPr>
        <w:t>无。</w:t>
      </w:r>
    </w:p>
    <w:p>
      <w:pPr>
        <w:pStyle w:val="42"/>
        <w:spacing w:line="360" w:lineRule="auto"/>
        <w:rPr>
          <w:rFonts w:eastAsia="宋体"/>
          <w:color w:val="auto"/>
          <w:spacing w:val="-2"/>
          <w:sz w:val="21"/>
          <w:szCs w:val="21"/>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8650663"/>
    </w:sdtPr>
    <w:sdtContent>
      <w:p>
        <w:pPr>
          <w:pStyle w:val="14"/>
          <w:jc w:val="center"/>
        </w:pPr>
        <w:r>
          <w:fldChar w:fldCharType="begin"/>
        </w:r>
        <w:r>
          <w:instrText xml:space="preserve">PAGE   \* MERGEFORMAT</w:instrText>
        </w:r>
        <w:r>
          <w:fldChar w:fldCharType="separate"/>
        </w:r>
        <w:r>
          <w:rPr>
            <w:lang w:val="zh-CN" w:eastAsia="zh-CN"/>
          </w:rPr>
          <w:t>I</w:t>
        </w:r>
        <w: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MmZiZDQxZGJlZTA2ZWQzNzk3MzQ1ZjY5MmI0N2IifQ=="/>
    <w:docVar w:name="EN.InstantFormat" w:val="&lt;ENInstantFormat&gt;&lt;Enabled&gt;1&lt;/Enabled&gt;&lt;ScanUnformatted&gt;1&lt;/ScanUnformatted&gt;&lt;ScanChanges&gt;1&lt;/ScanChanges&gt;&lt;Suspended&gt;0&lt;/Suspended&gt;&lt;/ENInstantFormat&gt;"/>
    <w:docVar w:name="EN.Layout" w:val="&lt;ENLayout&gt;&lt;Style&gt;中国环境科学(全体作者)&lt;/Style&gt;&lt;LeftDelim&gt;{&lt;/LeftDelim&gt;&lt;RightDelim&gt;}&lt;/RightDelim&gt;&lt;FontName&gt;等线&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9pzx095av00r1erdeppspvew00ttpv0fv5f&quot;&gt;文献&lt;record-ids&gt;&lt;item&gt;403&lt;/item&gt;&lt;item&gt;404&lt;/item&gt;&lt;item&gt;405&lt;/item&gt;&lt;/record-ids&gt;&lt;/item&gt;&lt;/Libraries&gt;"/>
    <w:docVar w:name="KSO_WPS_MARK_KEY" w:val="84777f22-01f8-4160-8856-ccf05dc2cb36"/>
  </w:docVars>
  <w:rsids>
    <w:rsidRoot w:val="000608D8"/>
    <w:rsid w:val="00003AA6"/>
    <w:rsid w:val="0001035E"/>
    <w:rsid w:val="000145DB"/>
    <w:rsid w:val="000165F3"/>
    <w:rsid w:val="00022C7E"/>
    <w:rsid w:val="00022E26"/>
    <w:rsid w:val="00024A89"/>
    <w:rsid w:val="00030AC5"/>
    <w:rsid w:val="000344F7"/>
    <w:rsid w:val="00035813"/>
    <w:rsid w:val="00043161"/>
    <w:rsid w:val="000445DD"/>
    <w:rsid w:val="00046368"/>
    <w:rsid w:val="00050097"/>
    <w:rsid w:val="00050133"/>
    <w:rsid w:val="00057084"/>
    <w:rsid w:val="000608D8"/>
    <w:rsid w:val="00065449"/>
    <w:rsid w:val="00096D62"/>
    <w:rsid w:val="000A1E5E"/>
    <w:rsid w:val="000B3246"/>
    <w:rsid w:val="000B628E"/>
    <w:rsid w:val="000B7A78"/>
    <w:rsid w:val="000C28F3"/>
    <w:rsid w:val="000C37B3"/>
    <w:rsid w:val="000D33AF"/>
    <w:rsid w:val="000F1692"/>
    <w:rsid w:val="001019E6"/>
    <w:rsid w:val="00103FA3"/>
    <w:rsid w:val="0010658C"/>
    <w:rsid w:val="001078A1"/>
    <w:rsid w:val="00114C07"/>
    <w:rsid w:val="0012140E"/>
    <w:rsid w:val="00122547"/>
    <w:rsid w:val="0013579F"/>
    <w:rsid w:val="00136B18"/>
    <w:rsid w:val="0014554E"/>
    <w:rsid w:val="00146455"/>
    <w:rsid w:val="00151A35"/>
    <w:rsid w:val="00156E63"/>
    <w:rsid w:val="00157667"/>
    <w:rsid w:val="001606DA"/>
    <w:rsid w:val="001632D2"/>
    <w:rsid w:val="00165AB2"/>
    <w:rsid w:val="001707A4"/>
    <w:rsid w:val="00174DD7"/>
    <w:rsid w:val="00181068"/>
    <w:rsid w:val="001828C9"/>
    <w:rsid w:val="00192F41"/>
    <w:rsid w:val="001C01DD"/>
    <w:rsid w:val="001C214D"/>
    <w:rsid w:val="001D3C14"/>
    <w:rsid w:val="001E1649"/>
    <w:rsid w:val="001E3E36"/>
    <w:rsid w:val="001E4F2B"/>
    <w:rsid w:val="001E6DC9"/>
    <w:rsid w:val="001F6BAB"/>
    <w:rsid w:val="00201F6D"/>
    <w:rsid w:val="00202ADC"/>
    <w:rsid w:val="00204B7A"/>
    <w:rsid w:val="00205568"/>
    <w:rsid w:val="002125ED"/>
    <w:rsid w:val="0021570F"/>
    <w:rsid w:val="0021655A"/>
    <w:rsid w:val="00217294"/>
    <w:rsid w:val="00221D24"/>
    <w:rsid w:val="00225021"/>
    <w:rsid w:val="00227BF2"/>
    <w:rsid w:val="00232DCE"/>
    <w:rsid w:val="002403FE"/>
    <w:rsid w:val="00242EE3"/>
    <w:rsid w:val="00243441"/>
    <w:rsid w:val="00247185"/>
    <w:rsid w:val="00250F6A"/>
    <w:rsid w:val="00256ABC"/>
    <w:rsid w:val="00257A11"/>
    <w:rsid w:val="00261141"/>
    <w:rsid w:val="00261393"/>
    <w:rsid w:val="00263ADA"/>
    <w:rsid w:val="002663B9"/>
    <w:rsid w:val="002705F1"/>
    <w:rsid w:val="002744A5"/>
    <w:rsid w:val="002A6D0F"/>
    <w:rsid w:val="002B7AE5"/>
    <w:rsid w:val="002C3EF2"/>
    <w:rsid w:val="002D6ABB"/>
    <w:rsid w:val="002E573A"/>
    <w:rsid w:val="002E655A"/>
    <w:rsid w:val="002E6D5B"/>
    <w:rsid w:val="002F7DE5"/>
    <w:rsid w:val="00312193"/>
    <w:rsid w:val="00323AD7"/>
    <w:rsid w:val="003300C4"/>
    <w:rsid w:val="003414AB"/>
    <w:rsid w:val="003464A1"/>
    <w:rsid w:val="00346EFC"/>
    <w:rsid w:val="00356CB0"/>
    <w:rsid w:val="00356E85"/>
    <w:rsid w:val="00370682"/>
    <w:rsid w:val="003736ED"/>
    <w:rsid w:val="0037697D"/>
    <w:rsid w:val="0038252C"/>
    <w:rsid w:val="003921D9"/>
    <w:rsid w:val="003A2B66"/>
    <w:rsid w:val="003A760A"/>
    <w:rsid w:val="003C3CE5"/>
    <w:rsid w:val="003C55E9"/>
    <w:rsid w:val="003C7BF9"/>
    <w:rsid w:val="003D1D27"/>
    <w:rsid w:val="003D3EC7"/>
    <w:rsid w:val="003E3794"/>
    <w:rsid w:val="003E77A3"/>
    <w:rsid w:val="003F047C"/>
    <w:rsid w:val="003F6DE9"/>
    <w:rsid w:val="0041554C"/>
    <w:rsid w:val="00420C14"/>
    <w:rsid w:val="00421064"/>
    <w:rsid w:val="00422798"/>
    <w:rsid w:val="00430006"/>
    <w:rsid w:val="00446173"/>
    <w:rsid w:val="00447813"/>
    <w:rsid w:val="00454419"/>
    <w:rsid w:val="0045481C"/>
    <w:rsid w:val="00456CC4"/>
    <w:rsid w:val="00461647"/>
    <w:rsid w:val="00473667"/>
    <w:rsid w:val="00484084"/>
    <w:rsid w:val="00487848"/>
    <w:rsid w:val="004A26C1"/>
    <w:rsid w:val="004B3BC6"/>
    <w:rsid w:val="004B52FB"/>
    <w:rsid w:val="004C08C6"/>
    <w:rsid w:val="004C4E27"/>
    <w:rsid w:val="004E13F6"/>
    <w:rsid w:val="004E38BC"/>
    <w:rsid w:val="004E3BDF"/>
    <w:rsid w:val="004E7050"/>
    <w:rsid w:val="004F3B44"/>
    <w:rsid w:val="00507621"/>
    <w:rsid w:val="00510E20"/>
    <w:rsid w:val="005132E6"/>
    <w:rsid w:val="00515989"/>
    <w:rsid w:val="00527CA0"/>
    <w:rsid w:val="00534ECB"/>
    <w:rsid w:val="005441B2"/>
    <w:rsid w:val="005462AA"/>
    <w:rsid w:val="0054798D"/>
    <w:rsid w:val="005505B2"/>
    <w:rsid w:val="00554A65"/>
    <w:rsid w:val="00556211"/>
    <w:rsid w:val="00556AD9"/>
    <w:rsid w:val="005733FD"/>
    <w:rsid w:val="00575BC6"/>
    <w:rsid w:val="0058302B"/>
    <w:rsid w:val="005833AA"/>
    <w:rsid w:val="00594E07"/>
    <w:rsid w:val="005A1D1E"/>
    <w:rsid w:val="005A74FD"/>
    <w:rsid w:val="005B46F0"/>
    <w:rsid w:val="005D0E92"/>
    <w:rsid w:val="005D69ED"/>
    <w:rsid w:val="005E7681"/>
    <w:rsid w:val="005F3ADC"/>
    <w:rsid w:val="005F529B"/>
    <w:rsid w:val="00601155"/>
    <w:rsid w:val="006144F0"/>
    <w:rsid w:val="006154DA"/>
    <w:rsid w:val="006171B6"/>
    <w:rsid w:val="006202BB"/>
    <w:rsid w:val="00632069"/>
    <w:rsid w:val="00633035"/>
    <w:rsid w:val="00654C33"/>
    <w:rsid w:val="006752BD"/>
    <w:rsid w:val="006764B8"/>
    <w:rsid w:val="00680297"/>
    <w:rsid w:val="0068142C"/>
    <w:rsid w:val="00686CEB"/>
    <w:rsid w:val="00691B82"/>
    <w:rsid w:val="00692ACB"/>
    <w:rsid w:val="00694B47"/>
    <w:rsid w:val="006967B2"/>
    <w:rsid w:val="006A3056"/>
    <w:rsid w:val="006A757D"/>
    <w:rsid w:val="006C3281"/>
    <w:rsid w:val="006C4D68"/>
    <w:rsid w:val="006C6674"/>
    <w:rsid w:val="006D03CB"/>
    <w:rsid w:val="006D1D10"/>
    <w:rsid w:val="006D1FCF"/>
    <w:rsid w:val="006D5395"/>
    <w:rsid w:val="006E3878"/>
    <w:rsid w:val="006E6972"/>
    <w:rsid w:val="006E796F"/>
    <w:rsid w:val="006F7D36"/>
    <w:rsid w:val="00700701"/>
    <w:rsid w:val="00701A49"/>
    <w:rsid w:val="007036DB"/>
    <w:rsid w:val="00711589"/>
    <w:rsid w:val="00715C27"/>
    <w:rsid w:val="00732A6E"/>
    <w:rsid w:val="007472AC"/>
    <w:rsid w:val="0075087E"/>
    <w:rsid w:val="007539EB"/>
    <w:rsid w:val="00754AA2"/>
    <w:rsid w:val="00754D46"/>
    <w:rsid w:val="00760296"/>
    <w:rsid w:val="00764E97"/>
    <w:rsid w:val="00770110"/>
    <w:rsid w:val="007740B1"/>
    <w:rsid w:val="00783979"/>
    <w:rsid w:val="00783B49"/>
    <w:rsid w:val="00792BB9"/>
    <w:rsid w:val="007A087F"/>
    <w:rsid w:val="007A1350"/>
    <w:rsid w:val="007A2B63"/>
    <w:rsid w:val="007A3F4B"/>
    <w:rsid w:val="007A6753"/>
    <w:rsid w:val="007C418D"/>
    <w:rsid w:val="007C4B10"/>
    <w:rsid w:val="007D3F6E"/>
    <w:rsid w:val="007E401B"/>
    <w:rsid w:val="007E56BA"/>
    <w:rsid w:val="007E64F5"/>
    <w:rsid w:val="007F055D"/>
    <w:rsid w:val="007F07EB"/>
    <w:rsid w:val="007F0F65"/>
    <w:rsid w:val="007F7B4A"/>
    <w:rsid w:val="007F7D8E"/>
    <w:rsid w:val="00812402"/>
    <w:rsid w:val="0082088A"/>
    <w:rsid w:val="00822F3C"/>
    <w:rsid w:val="00824635"/>
    <w:rsid w:val="00824674"/>
    <w:rsid w:val="00824F5E"/>
    <w:rsid w:val="0082577F"/>
    <w:rsid w:val="00826B4B"/>
    <w:rsid w:val="00831F50"/>
    <w:rsid w:val="00840D55"/>
    <w:rsid w:val="00843300"/>
    <w:rsid w:val="00851CE6"/>
    <w:rsid w:val="00854459"/>
    <w:rsid w:val="00873031"/>
    <w:rsid w:val="00877A97"/>
    <w:rsid w:val="008802D8"/>
    <w:rsid w:val="00880D05"/>
    <w:rsid w:val="00880D9D"/>
    <w:rsid w:val="0088119C"/>
    <w:rsid w:val="008833D2"/>
    <w:rsid w:val="0089250D"/>
    <w:rsid w:val="008954D6"/>
    <w:rsid w:val="0089722D"/>
    <w:rsid w:val="008A06FF"/>
    <w:rsid w:val="008A1936"/>
    <w:rsid w:val="008A2F00"/>
    <w:rsid w:val="008A64E1"/>
    <w:rsid w:val="008B2357"/>
    <w:rsid w:val="008B4BBA"/>
    <w:rsid w:val="008B79C9"/>
    <w:rsid w:val="008C189B"/>
    <w:rsid w:val="008C7A62"/>
    <w:rsid w:val="008D0622"/>
    <w:rsid w:val="008E1EB3"/>
    <w:rsid w:val="008E69C1"/>
    <w:rsid w:val="008F7BE5"/>
    <w:rsid w:val="00906F42"/>
    <w:rsid w:val="0091186A"/>
    <w:rsid w:val="00912EB9"/>
    <w:rsid w:val="00925128"/>
    <w:rsid w:val="00927EA3"/>
    <w:rsid w:val="009310D3"/>
    <w:rsid w:val="00954270"/>
    <w:rsid w:val="009544D1"/>
    <w:rsid w:val="00962302"/>
    <w:rsid w:val="00970896"/>
    <w:rsid w:val="00970D57"/>
    <w:rsid w:val="00971E14"/>
    <w:rsid w:val="0097249F"/>
    <w:rsid w:val="009823EA"/>
    <w:rsid w:val="0099195B"/>
    <w:rsid w:val="00997446"/>
    <w:rsid w:val="009974C4"/>
    <w:rsid w:val="00997C5F"/>
    <w:rsid w:val="009A1FCE"/>
    <w:rsid w:val="009B077A"/>
    <w:rsid w:val="009B3732"/>
    <w:rsid w:val="009B3D6F"/>
    <w:rsid w:val="009C0CF8"/>
    <w:rsid w:val="009C0E7C"/>
    <w:rsid w:val="009C24FC"/>
    <w:rsid w:val="009C2CFF"/>
    <w:rsid w:val="009E0022"/>
    <w:rsid w:val="009E730A"/>
    <w:rsid w:val="009F3E94"/>
    <w:rsid w:val="009F41B5"/>
    <w:rsid w:val="009F4937"/>
    <w:rsid w:val="009F5AAA"/>
    <w:rsid w:val="00A07729"/>
    <w:rsid w:val="00A10349"/>
    <w:rsid w:val="00A14134"/>
    <w:rsid w:val="00A16B5E"/>
    <w:rsid w:val="00A23F9E"/>
    <w:rsid w:val="00A259C6"/>
    <w:rsid w:val="00A30AC1"/>
    <w:rsid w:val="00A333AA"/>
    <w:rsid w:val="00A35AB5"/>
    <w:rsid w:val="00A37186"/>
    <w:rsid w:val="00A37C85"/>
    <w:rsid w:val="00A47103"/>
    <w:rsid w:val="00A53C0D"/>
    <w:rsid w:val="00A66C23"/>
    <w:rsid w:val="00A71000"/>
    <w:rsid w:val="00A7344D"/>
    <w:rsid w:val="00A734E8"/>
    <w:rsid w:val="00A73EC9"/>
    <w:rsid w:val="00A773B0"/>
    <w:rsid w:val="00A815B4"/>
    <w:rsid w:val="00A84288"/>
    <w:rsid w:val="00A8566A"/>
    <w:rsid w:val="00A91338"/>
    <w:rsid w:val="00A96BF0"/>
    <w:rsid w:val="00AA6EFB"/>
    <w:rsid w:val="00AB4919"/>
    <w:rsid w:val="00AB6342"/>
    <w:rsid w:val="00AB796E"/>
    <w:rsid w:val="00AC5A8F"/>
    <w:rsid w:val="00AC665F"/>
    <w:rsid w:val="00AD42DF"/>
    <w:rsid w:val="00AE4FF4"/>
    <w:rsid w:val="00AF5763"/>
    <w:rsid w:val="00B009AF"/>
    <w:rsid w:val="00B06B35"/>
    <w:rsid w:val="00B07332"/>
    <w:rsid w:val="00B11B7B"/>
    <w:rsid w:val="00B156DA"/>
    <w:rsid w:val="00B309BC"/>
    <w:rsid w:val="00B34BB4"/>
    <w:rsid w:val="00B40D61"/>
    <w:rsid w:val="00B41FB9"/>
    <w:rsid w:val="00B42FF4"/>
    <w:rsid w:val="00B45214"/>
    <w:rsid w:val="00B47F17"/>
    <w:rsid w:val="00B53717"/>
    <w:rsid w:val="00B563BA"/>
    <w:rsid w:val="00B60900"/>
    <w:rsid w:val="00B65161"/>
    <w:rsid w:val="00B67CE5"/>
    <w:rsid w:val="00B8242C"/>
    <w:rsid w:val="00B834F0"/>
    <w:rsid w:val="00B838D6"/>
    <w:rsid w:val="00B83A8E"/>
    <w:rsid w:val="00B90796"/>
    <w:rsid w:val="00B9388F"/>
    <w:rsid w:val="00B96F42"/>
    <w:rsid w:val="00BA5B1B"/>
    <w:rsid w:val="00BA7651"/>
    <w:rsid w:val="00BB086A"/>
    <w:rsid w:val="00BB1A97"/>
    <w:rsid w:val="00BB5D2A"/>
    <w:rsid w:val="00BB704A"/>
    <w:rsid w:val="00BB73E7"/>
    <w:rsid w:val="00BC08CB"/>
    <w:rsid w:val="00BC11DB"/>
    <w:rsid w:val="00BC1E4E"/>
    <w:rsid w:val="00BC633F"/>
    <w:rsid w:val="00BD039B"/>
    <w:rsid w:val="00BD79F8"/>
    <w:rsid w:val="00BE405A"/>
    <w:rsid w:val="00BF40A9"/>
    <w:rsid w:val="00C00E6B"/>
    <w:rsid w:val="00C04023"/>
    <w:rsid w:val="00C05E2E"/>
    <w:rsid w:val="00C1485F"/>
    <w:rsid w:val="00C17F4C"/>
    <w:rsid w:val="00C21F6F"/>
    <w:rsid w:val="00C27824"/>
    <w:rsid w:val="00C37385"/>
    <w:rsid w:val="00C417E3"/>
    <w:rsid w:val="00C42238"/>
    <w:rsid w:val="00C50F21"/>
    <w:rsid w:val="00C5157D"/>
    <w:rsid w:val="00C51E4D"/>
    <w:rsid w:val="00C65689"/>
    <w:rsid w:val="00C65C7D"/>
    <w:rsid w:val="00C70376"/>
    <w:rsid w:val="00C719A1"/>
    <w:rsid w:val="00C73515"/>
    <w:rsid w:val="00C73E18"/>
    <w:rsid w:val="00C76F44"/>
    <w:rsid w:val="00C83310"/>
    <w:rsid w:val="00C905E1"/>
    <w:rsid w:val="00C9581C"/>
    <w:rsid w:val="00CA2908"/>
    <w:rsid w:val="00CA3F2D"/>
    <w:rsid w:val="00CB34CE"/>
    <w:rsid w:val="00CB548D"/>
    <w:rsid w:val="00CC34CF"/>
    <w:rsid w:val="00CC4788"/>
    <w:rsid w:val="00CD05CF"/>
    <w:rsid w:val="00CD724D"/>
    <w:rsid w:val="00CE38F9"/>
    <w:rsid w:val="00CE4EBC"/>
    <w:rsid w:val="00CE598C"/>
    <w:rsid w:val="00D0069C"/>
    <w:rsid w:val="00D03449"/>
    <w:rsid w:val="00D044B5"/>
    <w:rsid w:val="00D07BAE"/>
    <w:rsid w:val="00D11428"/>
    <w:rsid w:val="00D12224"/>
    <w:rsid w:val="00D217BD"/>
    <w:rsid w:val="00D21E9D"/>
    <w:rsid w:val="00D2637A"/>
    <w:rsid w:val="00D318B7"/>
    <w:rsid w:val="00D31AB3"/>
    <w:rsid w:val="00D33A63"/>
    <w:rsid w:val="00D42D2D"/>
    <w:rsid w:val="00D468B8"/>
    <w:rsid w:val="00D50549"/>
    <w:rsid w:val="00D57476"/>
    <w:rsid w:val="00D60AA4"/>
    <w:rsid w:val="00D67374"/>
    <w:rsid w:val="00D74FF2"/>
    <w:rsid w:val="00D868DF"/>
    <w:rsid w:val="00D873FE"/>
    <w:rsid w:val="00D912B2"/>
    <w:rsid w:val="00D91C3E"/>
    <w:rsid w:val="00D93228"/>
    <w:rsid w:val="00D948B9"/>
    <w:rsid w:val="00DA1555"/>
    <w:rsid w:val="00DA3104"/>
    <w:rsid w:val="00DA5EE7"/>
    <w:rsid w:val="00DA63CF"/>
    <w:rsid w:val="00DB2CC4"/>
    <w:rsid w:val="00DC02E4"/>
    <w:rsid w:val="00DC2912"/>
    <w:rsid w:val="00DC41A9"/>
    <w:rsid w:val="00DC711E"/>
    <w:rsid w:val="00DD466F"/>
    <w:rsid w:val="00DD6588"/>
    <w:rsid w:val="00DE4D44"/>
    <w:rsid w:val="00DF18E1"/>
    <w:rsid w:val="00DF2156"/>
    <w:rsid w:val="00DF29D2"/>
    <w:rsid w:val="00DF2B3E"/>
    <w:rsid w:val="00DF31F9"/>
    <w:rsid w:val="00DF7079"/>
    <w:rsid w:val="00DF73B5"/>
    <w:rsid w:val="00E02CF6"/>
    <w:rsid w:val="00E05E5E"/>
    <w:rsid w:val="00E17509"/>
    <w:rsid w:val="00E239FB"/>
    <w:rsid w:val="00E2418D"/>
    <w:rsid w:val="00E241F4"/>
    <w:rsid w:val="00E43C9E"/>
    <w:rsid w:val="00E57FF4"/>
    <w:rsid w:val="00E61404"/>
    <w:rsid w:val="00E62640"/>
    <w:rsid w:val="00E71801"/>
    <w:rsid w:val="00E75D46"/>
    <w:rsid w:val="00E77A6C"/>
    <w:rsid w:val="00E86E4C"/>
    <w:rsid w:val="00E9076F"/>
    <w:rsid w:val="00EA0422"/>
    <w:rsid w:val="00EA4E07"/>
    <w:rsid w:val="00EB17D6"/>
    <w:rsid w:val="00EB23AF"/>
    <w:rsid w:val="00EB61D4"/>
    <w:rsid w:val="00EC50A6"/>
    <w:rsid w:val="00EC5F61"/>
    <w:rsid w:val="00EC7F85"/>
    <w:rsid w:val="00ED495F"/>
    <w:rsid w:val="00EE6635"/>
    <w:rsid w:val="00EF2B13"/>
    <w:rsid w:val="00F03B88"/>
    <w:rsid w:val="00F102C8"/>
    <w:rsid w:val="00F136D1"/>
    <w:rsid w:val="00F13E2D"/>
    <w:rsid w:val="00F14B2D"/>
    <w:rsid w:val="00F24A30"/>
    <w:rsid w:val="00F318E6"/>
    <w:rsid w:val="00F45D0F"/>
    <w:rsid w:val="00F46239"/>
    <w:rsid w:val="00F47354"/>
    <w:rsid w:val="00F54CFA"/>
    <w:rsid w:val="00F55EF9"/>
    <w:rsid w:val="00F62166"/>
    <w:rsid w:val="00F67080"/>
    <w:rsid w:val="00F72B7B"/>
    <w:rsid w:val="00F72E72"/>
    <w:rsid w:val="00F7389A"/>
    <w:rsid w:val="00F7695B"/>
    <w:rsid w:val="00F822CC"/>
    <w:rsid w:val="00F841FB"/>
    <w:rsid w:val="00F86204"/>
    <w:rsid w:val="00F9465F"/>
    <w:rsid w:val="00FC7664"/>
    <w:rsid w:val="00FD00DA"/>
    <w:rsid w:val="00FD6A7D"/>
    <w:rsid w:val="00FF3272"/>
    <w:rsid w:val="00FF7F93"/>
    <w:rsid w:val="01AB514E"/>
    <w:rsid w:val="021A36E8"/>
    <w:rsid w:val="053863A9"/>
    <w:rsid w:val="0A153CA9"/>
    <w:rsid w:val="0D4F1F9F"/>
    <w:rsid w:val="0EFA2201"/>
    <w:rsid w:val="12016B36"/>
    <w:rsid w:val="15DA0227"/>
    <w:rsid w:val="17120F87"/>
    <w:rsid w:val="17BD38D4"/>
    <w:rsid w:val="188B6E6F"/>
    <w:rsid w:val="1A7E271F"/>
    <w:rsid w:val="1B7358AF"/>
    <w:rsid w:val="1E1369C4"/>
    <w:rsid w:val="1F295BB7"/>
    <w:rsid w:val="201D3A46"/>
    <w:rsid w:val="21C81EB6"/>
    <w:rsid w:val="220626C1"/>
    <w:rsid w:val="236478D2"/>
    <w:rsid w:val="239A1A7D"/>
    <w:rsid w:val="23D20DAA"/>
    <w:rsid w:val="2797395A"/>
    <w:rsid w:val="2866577A"/>
    <w:rsid w:val="296F1E63"/>
    <w:rsid w:val="2ACC505E"/>
    <w:rsid w:val="2FA81356"/>
    <w:rsid w:val="32B67A1F"/>
    <w:rsid w:val="33FE28FC"/>
    <w:rsid w:val="34CA77B1"/>
    <w:rsid w:val="3B0C232C"/>
    <w:rsid w:val="40640283"/>
    <w:rsid w:val="409D4901"/>
    <w:rsid w:val="46BB18C2"/>
    <w:rsid w:val="48BF1BCC"/>
    <w:rsid w:val="4ACA5508"/>
    <w:rsid w:val="4BF440E0"/>
    <w:rsid w:val="4C57206F"/>
    <w:rsid w:val="4CD26C24"/>
    <w:rsid w:val="4E6F77B0"/>
    <w:rsid w:val="4E896AE9"/>
    <w:rsid w:val="50173418"/>
    <w:rsid w:val="52B15AB5"/>
    <w:rsid w:val="52B45B50"/>
    <w:rsid w:val="54575432"/>
    <w:rsid w:val="55B55CEB"/>
    <w:rsid w:val="576538A9"/>
    <w:rsid w:val="58157AEE"/>
    <w:rsid w:val="5B241A3E"/>
    <w:rsid w:val="5B3048BE"/>
    <w:rsid w:val="5BA14D74"/>
    <w:rsid w:val="5C0E42C2"/>
    <w:rsid w:val="5C657614"/>
    <w:rsid w:val="5E2A5C71"/>
    <w:rsid w:val="5F8D054F"/>
    <w:rsid w:val="6036155A"/>
    <w:rsid w:val="6380496E"/>
    <w:rsid w:val="64493234"/>
    <w:rsid w:val="6557516F"/>
    <w:rsid w:val="657775A4"/>
    <w:rsid w:val="65C42068"/>
    <w:rsid w:val="6608013B"/>
    <w:rsid w:val="6ADD5951"/>
    <w:rsid w:val="6BE436A7"/>
    <w:rsid w:val="6C176A60"/>
    <w:rsid w:val="6D245378"/>
    <w:rsid w:val="6DC84C9D"/>
    <w:rsid w:val="6E2B20B6"/>
    <w:rsid w:val="707B03D7"/>
    <w:rsid w:val="7474173F"/>
    <w:rsid w:val="76A37054"/>
    <w:rsid w:val="7FF324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sz w:val="22"/>
      <w:szCs w:val="22"/>
      <w:lang w:val="en-US" w:eastAsia="en-US" w:bidi="ar-SA"/>
    </w:rPr>
  </w:style>
  <w:style w:type="paragraph" w:styleId="4">
    <w:name w:val="heading 1"/>
    <w:basedOn w:val="1"/>
    <w:next w:val="1"/>
    <w:link w:val="29"/>
    <w:qFormat/>
    <w:uiPriority w:val="9"/>
    <w:pPr>
      <w:keepNext/>
      <w:keepLines/>
      <w:spacing w:before="340" w:after="330" w:line="578" w:lineRule="auto"/>
      <w:outlineLvl w:val="0"/>
    </w:pPr>
    <w:rPr>
      <w:rFonts w:eastAsia="宋体"/>
      <w:b/>
      <w:bCs/>
      <w:kern w:val="44"/>
      <w:sz w:val="32"/>
      <w:szCs w:val="44"/>
    </w:rPr>
  </w:style>
  <w:style w:type="paragraph" w:styleId="5">
    <w:name w:val="heading 2"/>
    <w:basedOn w:val="1"/>
    <w:next w:val="1"/>
    <w:link w:val="30"/>
    <w:unhideWhenUsed/>
    <w:qFormat/>
    <w:uiPriority w:val="9"/>
    <w:pPr>
      <w:keepNext/>
      <w:keepLines/>
      <w:spacing w:before="260" w:after="260" w:line="416" w:lineRule="auto"/>
      <w:outlineLvl w:val="1"/>
    </w:pPr>
    <w:rPr>
      <w:rFonts w:eastAsia="宋体" w:asciiTheme="majorHAnsi" w:hAnsiTheme="majorHAnsi" w:cstheme="majorBidi"/>
      <w:b/>
      <w:bCs/>
      <w:sz w:val="30"/>
      <w:szCs w:val="32"/>
    </w:rPr>
  </w:style>
  <w:style w:type="paragraph" w:styleId="6">
    <w:name w:val="heading 3"/>
    <w:basedOn w:val="1"/>
    <w:next w:val="1"/>
    <w:link w:val="26"/>
    <w:unhideWhenUsed/>
    <w:qFormat/>
    <w:uiPriority w:val="9"/>
    <w:pPr>
      <w:ind w:left="118"/>
      <w:outlineLvl w:val="2"/>
    </w:pPr>
    <w:rPr>
      <w:rFonts w:ascii="黑体" w:hAnsi="黑体" w:eastAsia="宋体"/>
      <w:b/>
      <w:bCs/>
      <w:sz w:val="28"/>
      <w:szCs w:val="21"/>
    </w:rPr>
  </w:style>
  <w:style w:type="paragraph" w:styleId="7">
    <w:name w:val="heading 4"/>
    <w:basedOn w:val="1"/>
    <w:next w:val="1"/>
    <w:link w:val="36"/>
    <w:unhideWhenUsed/>
    <w:qFormat/>
    <w:uiPriority w:val="9"/>
    <w:pPr>
      <w:keepNext/>
      <w:keepLines/>
      <w:spacing w:before="280" w:after="290" w:line="376" w:lineRule="auto"/>
      <w:jc w:val="both"/>
      <w:outlineLvl w:val="3"/>
    </w:pPr>
    <w:rPr>
      <w:rFonts w:asciiTheme="majorHAnsi" w:hAnsiTheme="majorHAnsi" w:eastAsiaTheme="majorEastAsia" w:cstheme="majorBidi"/>
      <w:b/>
      <w:bCs/>
      <w:kern w:val="2"/>
      <w:sz w:val="28"/>
      <w:szCs w:val="28"/>
      <w:lang w:eastAsia="zh-CN"/>
    </w:rPr>
  </w:style>
  <w:style w:type="paragraph" w:styleId="8">
    <w:name w:val="heading 5"/>
    <w:basedOn w:val="1"/>
    <w:next w:val="1"/>
    <w:link w:val="48"/>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49"/>
    <w:unhideWhenUsed/>
    <w:qFormat/>
    <w:uiPriority w:val="9"/>
    <w:pPr>
      <w:keepNext/>
      <w:keepLines/>
      <w:spacing w:before="240" w:after="64" w:line="320" w:lineRule="auto"/>
      <w:jc w:val="both"/>
      <w:outlineLvl w:val="5"/>
    </w:pPr>
    <w:rPr>
      <w:rFonts w:asciiTheme="majorHAnsi" w:hAnsiTheme="majorHAnsi" w:eastAsiaTheme="majorEastAsia" w:cstheme="majorBidi"/>
      <w:b/>
      <w:bCs/>
      <w:kern w:val="2"/>
      <w:sz w:val="24"/>
      <w:szCs w:val="24"/>
      <w:lang w:eastAsia="zh-CN"/>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420" w:firstLineChars="200"/>
      <w:textAlignment w:val="auto"/>
    </w:pPr>
    <w:rPr>
      <w:rFonts w:hAnsi="宋体" w:eastAsia="仿宋_GB2312"/>
      <w:b/>
      <w:szCs w:val="24"/>
    </w:rPr>
  </w:style>
  <w:style w:type="paragraph" w:styleId="3">
    <w:name w:val="Body Text Indent"/>
    <w:basedOn w:val="1"/>
    <w:qFormat/>
    <w:uiPriority w:val="0"/>
    <w:pPr>
      <w:adjustRightInd w:val="0"/>
      <w:spacing w:line="312" w:lineRule="atLeast"/>
      <w:ind w:firstLine="574"/>
      <w:textAlignment w:val="baseline"/>
    </w:pPr>
    <w:rPr>
      <w:rFonts w:ascii="宋体"/>
      <w:kern w:val="0"/>
      <w:sz w:val="28"/>
    </w:rPr>
  </w:style>
  <w:style w:type="paragraph" w:styleId="10">
    <w:name w:val="annotation text"/>
    <w:basedOn w:val="1"/>
    <w:link w:val="37"/>
    <w:semiHidden/>
    <w:unhideWhenUsed/>
    <w:qFormat/>
    <w:uiPriority w:val="99"/>
  </w:style>
  <w:style w:type="paragraph" w:styleId="11">
    <w:name w:val="Body Text"/>
    <w:basedOn w:val="1"/>
    <w:link w:val="27"/>
    <w:qFormat/>
    <w:uiPriority w:val="1"/>
    <w:pPr>
      <w:spacing w:before="69"/>
      <w:ind w:left="120"/>
    </w:pPr>
    <w:rPr>
      <w:rFonts w:ascii="宋体" w:hAnsi="宋体" w:eastAsia="宋体"/>
      <w:sz w:val="21"/>
      <w:szCs w:val="21"/>
    </w:rPr>
  </w:style>
  <w:style w:type="paragraph" w:styleId="12">
    <w:name w:val="toc 3"/>
    <w:basedOn w:val="1"/>
    <w:next w:val="1"/>
    <w:unhideWhenUsed/>
    <w:qFormat/>
    <w:uiPriority w:val="39"/>
    <w:pPr>
      <w:ind w:left="840" w:leftChars="400"/>
    </w:pPr>
  </w:style>
  <w:style w:type="paragraph" w:styleId="13">
    <w:name w:val="Balloon Text"/>
    <w:basedOn w:val="1"/>
    <w:link w:val="35"/>
    <w:semiHidden/>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296"/>
      </w:tabs>
      <w:spacing w:line="240" w:lineRule="exact"/>
    </w:pPr>
  </w:style>
  <w:style w:type="paragraph" w:styleId="17">
    <w:name w:val="toc 2"/>
    <w:basedOn w:val="1"/>
    <w:next w:val="1"/>
    <w:unhideWhenUsed/>
    <w:qFormat/>
    <w:uiPriority w:val="39"/>
    <w:pPr>
      <w:ind w:left="420" w:leftChars="200"/>
    </w:pPr>
  </w:style>
  <w:style w:type="paragraph" w:styleId="18">
    <w:name w:val="annotation subject"/>
    <w:basedOn w:val="10"/>
    <w:next w:val="10"/>
    <w:link w:val="38"/>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Table Simple 1"/>
    <w:basedOn w:val="19"/>
    <w:semiHidden/>
    <w:unhideWhenUsed/>
    <w:qFormat/>
    <w:uiPriority w:val="99"/>
    <w:pPr>
      <w:widowControl w:val="0"/>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23">
    <w:name w:val="page number"/>
    <w:qFormat/>
    <w:uiPriority w:val="99"/>
    <w:rPr>
      <w:rFonts w:cs="Times New Roman"/>
    </w:rPr>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basedOn w:val="22"/>
    <w:semiHidden/>
    <w:unhideWhenUsed/>
    <w:qFormat/>
    <w:uiPriority w:val="99"/>
    <w:rPr>
      <w:sz w:val="21"/>
      <w:szCs w:val="21"/>
    </w:rPr>
  </w:style>
  <w:style w:type="character" w:customStyle="1" w:styleId="26">
    <w:name w:val="标题 3 Char"/>
    <w:basedOn w:val="22"/>
    <w:link w:val="6"/>
    <w:qFormat/>
    <w:uiPriority w:val="9"/>
    <w:rPr>
      <w:rFonts w:ascii="黑体" w:hAnsi="黑体" w:eastAsia="宋体"/>
      <w:b/>
      <w:bCs/>
      <w:sz w:val="28"/>
      <w:szCs w:val="21"/>
      <w:lang w:eastAsia="en-US"/>
    </w:rPr>
  </w:style>
  <w:style w:type="character" w:customStyle="1" w:styleId="27">
    <w:name w:val="正文文本 Char"/>
    <w:basedOn w:val="22"/>
    <w:link w:val="11"/>
    <w:qFormat/>
    <w:uiPriority w:val="1"/>
    <w:rPr>
      <w:rFonts w:ascii="宋体" w:hAnsi="宋体" w:eastAsia="宋体"/>
      <w:kern w:val="0"/>
      <w:szCs w:val="21"/>
      <w:lang w:eastAsia="en-US"/>
    </w:rPr>
  </w:style>
  <w:style w:type="character" w:customStyle="1" w:styleId="28">
    <w:name w:val="未处理的提及1"/>
    <w:basedOn w:val="22"/>
    <w:semiHidden/>
    <w:unhideWhenUsed/>
    <w:qFormat/>
    <w:uiPriority w:val="99"/>
    <w:rPr>
      <w:color w:val="605E5C"/>
      <w:shd w:val="clear" w:color="auto" w:fill="E1DFDD"/>
    </w:rPr>
  </w:style>
  <w:style w:type="character" w:customStyle="1" w:styleId="29">
    <w:name w:val="标题 1 Char"/>
    <w:basedOn w:val="22"/>
    <w:link w:val="4"/>
    <w:qFormat/>
    <w:uiPriority w:val="9"/>
    <w:rPr>
      <w:rFonts w:eastAsia="宋体"/>
      <w:b/>
      <w:bCs/>
      <w:kern w:val="44"/>
      <w:sz w:val="32"/>
      <w:szCs w:val="44"/>
      <w:lang w:eastAsia="en-US"/>
    </w:rPr>
  </w:style>
  <w:style w:type="character" w:customStyle="1" w:styleId="30">
    <w:name w:val="标题 2 Char"/>
    <w:basedOn w:val="22"/>
    <w:link w:val="5"/>
    <w:qFormat/>
    <w:uiPriority w:val="9"/>
    <w:rPr>
      <w:rFonts w:eastAsia="宋体" w:asciiTheme="majorHAnsi" w:hAnsiTheme="majorHAnsi" w:cstheme="majorBidi"/>
      <w:b/>
      <w:bCs/>
      <w:sz w:val="30"/>
      <w:szCs w:val="32"/>
      <w:lang w:eastAsia="en-US"/>
    </w:rPr>
  </w:style>
  <w:style w:type="paragraph" w:styleId="31">
    <w:name w:val="List Paragraph"/>
    <w:basedOn w:val="1"/>
    <w:qFormat/>
    <w:uiPriority w:val="34"/>
    <w:pPr>
      <w:ind w:firstLine="420" w:firstLineChars="200"/>
    </w:pPr>
  </w:style>
  <w:style w:type="paragraph" w:customStyle="1" w:styleId="32">
    <w:name w:val="TOC 标题1"/>
    <w:basedOn w:val="4"/>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2F5597" w:themeColor="accent1" w:themeShade="BF"/>
      <w:kern w:val="0"/>
      <w:szCs w:val="32"/>
      <w:lang w:eastAsia="zh-CN"/>
    </w:rPr>
  </w:style>
  <w:style w:type="character" w:customStyle="1" w:styleId="33">
    <w:name w:val="页眉 Char"/>
    <w:basedOn w:val="22"/>
    <w:link w:val="15"/>
    <w:qFormat/>
    <w:uiPriority w:val="99"/>
    <w:rPr>
      <w:kern w:val="0"/>
      <w:sz w:val="18"/>
      <w:szCs w:val="18"/>
      <w:lang w:eastAsia="en-US"/>
    </w:rPr>
  </w:style>
  <w:style w:type="character" w:customStyle="1" w:styleId="34">
    <w:name w:val="页脚 Char"/>
    <w:basedOn w:val="22"/>
    <w:link w:val="14"/>
    <w:qFormat/>
    <w:uiPriority w:val="99"/>
    <w:rPr>
      <w:kern w:val="0"/>
      <w:sz w:val="18"/>
      <w:szCs w:val="18"/>
      <w:lang w:eastAsia="en-US"/>
    </w:rPr>
  </w:style>
  <w:style w:type="character" w:customStyle="1" w:styleId="35">
    <w:name w:val="批注框文本 Char"/>
    <w:basedOn w:val="22"/>
    <w:link w:val="13"/>
    <w:semiHidden/>
    <w:qFormat/>
    <w:uiPriority w:val="99"/>
    <w:rPr>
      <w:kern w:val="0"/>
      <w:sz w:val="18"/>
      <w:szCs w:val="18"/>
      <w:lang w:eastAsia="en-US"/>
    </w:rPr>
  </w:style>
  <w:style w:type="character" w:customStyle="1" w:styleId="36">
    <w:name w:val="标题 4 Char"/>
    <w:basedOn w:val="22"/>
    <w:link w:val="7"/>
    <w:qFormat/>
    <w:uiPriority w:val="9"/>
    <w:rPr>
      <w:rFonts w:asciiTheme="majorHAnsi" w:hAnsiTheme="majorHAnsi" w:eastAsiaTheme="majorEastAsia" w:cstheme="majorBidi"/>
      <w:b/>
      <w:bCs/>
      <w:sz w:val="28"/>
      <w:szCs w:val="28"/>
    </w:rPr>
  </w:style>
  <w:style w:type="character" w:customStyle="1" w:styleId="37">
    <w:name w:val="批注文字 Char"/>
    <w:basedOn w:val="22"/>
    <w:link w:val="10"/>
    <w:semiHidden/>
    <w:qFormat/>
    <w:uiPriority w:val="99"/>
    <w:rPr>
      <w:kern w:val="0"/>
      <w:sz w:val="22"/>
      <w:lang w:eastAsia="en-US"/>
    </w:rPr>
  </w:style>
  <w:style w:type="character" w:customStyle="1" w:styleId="38">
    <w:name w:val="批注主题 Char"/>
    <w:basedOn w:val="37"/>
    <w:link w:val="18"/>
    <w:semiHidden/>
    <w:qFormat/>
    <w:uiPriority w:val="99"/>
    <w:rPr>
      <w:b/>
      <w:bCs/>
      <w:kern w:val="0"/>
      <w:sz w:val="22"/>
      <w:lang w:eastAsia="en-US"/>
    </w:rPr>
  </w:style>
  <w:style w:type="table" w:customStyle="1" w:styleId="39">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40">
    <w:name w:val="Table Paragraph"/>
    <w:basedOn w:val="1"/>
    <w:qFormat/>
    <w:uiPriority w:val="1"/>
  </w:style>
  <w:style w:type="table" w:customStyle="1" w:styleId="41">
    <w:name w:val="样式1"/>
    <w:basedOn w:val="21"/>
    <w:qFormat/>
    <w:uiPriority w:val="99"/>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paragraph" w:customStyle="1" w:styleId="42">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3">
    <w:name w:val="fontstyle11"/>
    <w:basedOn w:val="22"/>
    <w:qFormat/>
    <w:uiPriority w:val="0"/>
    <w:rPr>
      <w:rFonts w:hint="default" w:ascii="TimesNewRoman" w:hAnsi="TimesNewRoman"/>
      <w:color w:val="000000"/>
      <w:sz w:val="18"/>
      <w:szCs w:val="18"/>
    </w:rPr>
  </w:style>
  <w:style w:type="paragraph" w:customStyle="1" w:styleId="44">
    <w:name w:val="EndNote Bibliography Title"/>
    <w:basedOn w:val="1"/>
    <w:link w:val="45"/>
    <w:qFormat/>
    <w:uiPriority w:val="0"/>
    <w:pPr>
      <w:jc w:val="center"/>
    </w:pPr>
    <w:rPr>
      <w:rFonts w:ascii="等线" w:hAnsi="等线" w:eastAsia="等线"/>
    </w:rPr>
  </w:style>
  <w:style w:type="character" w:customStyle="1" w:styleId="45">
    <w:name w:val="EndNote Bibliography Title 字符"/>
    <w:basedOn w:val="22"/>
    <w:link w:val="44"/>
    <w:qFormat/>
    <w:uiPriority w:val="0"/>
    <w:rPr>
      <w:rFonts w:ascii="等线" w:hAnsi="等线" w:eastAsia="等线"/>
      <w:kern w:val="0"/>
      <w:sz w:val="22"/>
      <w:lang w:eastAsia="en-US"/>
    </w:rPr>
  </w:style>
  <w:style w:type="paragraph" w:customStyle="1" w:styleId="46">
    <w:name w:val="EndNote Bibliography"/>
    <w:basedOn w:val="1"/>
    <w:link w:val="47"/>
    <w:qFormat/>
    <w:uiPriority w:val="0"/>
    <w:pPr>
      <w:jc w:val="both"/>
    </w:pPr>
    <w:rPr>
      <w:rFonts w:ascii="等线" w:hAnsi="等线" w:eastAsia="等线"/>
    </w:rPr>
  </w:style>
  <w:style w:type="character" w:customStyle="1" w:styleId="47">
    <w:name w:val="EndNote Bibliography 字符"/>
    <w:basedOn w:val="22"/>
    <w:link w:val="46"/>
    <w:qFormat/>
    <w:uiPriority w:val="0"/>
    <w:rPr>
      <w:rFonts w:ascii="等线" w:hAnsi="等线" w:eastAsia="等线"/>
      <w:kern w:val="0"/>
      <w:sz w:val="22"/>
      <w:lang w:eastAsia="en-US"/>
    </w:rPr>
  </w:style>
  <w:style w:type="character" w:customStyle="1" w:styleId="48">
    <w:name w:val="标题 5 Char"/>
    <w:basedOn w:val="22"/>
    <w:link w:val="8"/>
    <w:qFormat/>
    <w:uiPriority w:val="9"/>
    <w:rPr>
      <w:b/>
      <w:bCs/>
      <w:kern w:val="0"/>
      <w:sz w:val="28"/>
      <w:szCs w:val="28"/>
      <w:lang w:eastAsia="en-US"/>
    </w:rPr>
  </w:style>
  <w:style w:type="character" w:customStyle="1" w:styleId="49">
    <w:name w:val="标题 6 Char"/>
    <w:basedOn w:val="22"/>
    <w:link w:val="9"/>
    <w:qFormat/>
    <w:uiPriority w:val="9"/>
    <w:rPr>
      <w:rFonts w:asciiTheme="majorHAnsi" w:hAnsiTheme="majorHAnsi" w:eastAsiaTheme="majorEastAsia" w:cstheme="majorBidi"/>
      <w:b/>
      <w:bCs/>
      <w:kern w:val="2"/>
      <w:sz w:val="24"/>
      <w:szCs w:val="24"/>
    </w:rPr>
  </w:style>
  <w:style w:type="paragraph" w:customStyle="1" w:styleId="50">
    <w:name w:val="表格文字"/>
    <w:basedOn w:val="1"/>
    <w:link w:val="51"/>
    <w:qFormat/>
    <w:uiPriority w:val="0"/>
    <w:pPr>
      <w:adjustRightInd w:val="0"/>
      <w:snapToGrid w:val="0"/>
      <w:spacing w:line="400" w:lineRule="exact"/>
      <w:jc w:val="center"/>
    </w:pPr>
    <w:rPr>
      <w:rFonts w:ascii="Times New Roman" w:hAnsi="Times New Roman" w:eastAsia="宋体" w:cs="Times New Roman"/>
      <w:sz w:val="24"/>
      <w:szCs w:val="24"/>
      <w:lang w:eastAsia="zh-CN"/>
    </w:rPr>
  </w:style>
  <w:style w:type="character" w:customStyle="1" w:styleId="51">
    <w:name w:val="表格文字 Char"/>
    <w:link w:val="50"/>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3BFD5-033F-4AC9-8236-5C65B6DEF372}">
  <ds:schemaRefs/>
</ds:datastoreItem>
</file>

<file path=docProps/app.xml><?xml version="1.0" encoding="utf-8"?>
<Properties xmlns="http://schemas.openxmlformats.org/officeDocument/2006/extended-properties" xmlns:vt="http://schemas.openxmlformats.org/officeDocument/2006/docPropsVTypes">
  <Template>Normal</Template>
  <Pages>8</Pages>
  <Words>4478</Words>
  <Characters>4672</Characters>
  <Lines>30</Lines>
  <Paragraphs>8</Paragraphs>
  <TotalTime>0</TotalTime>
  <ScaleCrop>false</ScaleCrop>
  <LinksUpToDate>false</LinksUpToDate>
  <CharactersWithSpaces>4731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2022-02-14T15:25:00Z</dcterms:created>
  <dc:creator>water eco</dc:creator>
  <cp:lastModifiedBy>李微</cp:lastModifiedBy>
  <cp:lastPrinted>2021-09-16T02:43:00Z</cp:lastPrinted>
  <dcterms:modified xsi:type="dcterms:W3CDTF">2022-12-26T01:54:36Z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5CAFB511D83B40399B67B8C2955584FC</vt:lpwstr>
  </property>
</Properties>
</file>